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5F" w:rsidRDefault="00C4415F">
      <w:pPr>
        <w:pStyle w:val="ConsPlusTitlePage"/>
      </w:pPr>
      <w:bookmarkStart w:id="0" w:name="_GoBack"/>
      <w:bookmarkEnd w:id="0"/>
      <w:r>
        <w:br/>
      </w:r>
    </w:p>
    <w:p w:rsidR="00C4415F" w:rsidRDefault="00C4415F">
      <w:pPr>
        <w:pStyle w:val="ConsPlusNormal"/>
        <w:jc w:val="both"/>
        <w:outlineLvl w:val="0"/>
      </w:pPr>
    </w:p>
    <w:p w:rsidR="00C4415F" w:rsidRDefault="00C4415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ПОСТАНОВЛЕНИЕ</w:t>
      </w:r>
    </w:p>
    <w:p w:rsidR="00C4415F" w:rsidRDefault="00C4415F">
      <w:pPr>
        <w:pStyle w:val="ConsPlusTitle"/>
        <w:jc w:val="center"/>
      </w:pPr>
      <w:r>
        <w:t>от 15 сентября 2020 г. N 1434</w:t>
      </w:r>
    </w:p>
    <w:p w:rsidR="00C4415F" w:rsidRDefault="00C4415F">
      <w:pPr>
        <w:pStyle w:val="ConsPlusTitle"/>
        <w:jc w:val="center"/>
      </w:pPr>
    </w:p>
    <w:p w:rsidR="00C4415F" w:rsidRDefault="00C4415F">
      <w:pPr>
        <w:pStyle w:val="ConsPlusTitle"/>
        <w:jc w:val="center"/>
      </w:pPr>
      <w:r>
        <w:t>ОБ УТВЕРЖДЕНИИ ПРАВИЛ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СРЕДСТВ,</w:t>
      </w:r>
    </w:p>
    <w:p w:rsidR="00C4415F" w:rsidRDefault="00C4415F">
      <w:pPr>
        <w:pStyle w:val="ConsPlusTitle"/>
        <w:jc w:val="center"/>
      </w:pPr>
      <w:r>
        <w:t>А ТАКЖЕ О ВНЕСЕНИИ ИЗМЕНЕНИЙ В НЕКОТОРЫЕ АКТЫ ПРАВИТЕЛЬСТВА</w:t>
      </w:r>
    </w:p>
    <w:p w:rsidR="00C4415F" w:rsidRDefault="00C4415F">
      <w:pPr>
        <w:pStyle w:val="ConsPlusTitle"/>
        <w:jc w:val="center"/>
      </w:pPr>
      <w:r>
        <w:t>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26.10.2020 </w:t>
            </w:r>
            <w:hyperlink r:id="rId5" w:history="1">
              <w:r>
                <w:rPr>
                  <w:color w:val="0000FF"/>
                </w:rPr>
                <w:t>N 1742</w:t>
              </w:r>
            </w:hyperlink>
            <w:r>
              <w:rPr>
                <w:color w:val="392C69"/>
              </w:rPr>
              <w:t>,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30.01.2021 </w:t>
            </w:r>
            <w:hyperlink r:id="rId6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В соответствии с Федеральным законом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4415F" w:rsidRDefault="00FD3AD3">
      <w:pPr>
        <w:pStyle w:val="ConsPlusNormal"/>
        <w:spacing w:before="220"/>
        <w:ind w:firstLine="540"/>
        <w:jc w:val="both"/>
      </w:pPr>
      <w:hyperlink w:anchor="P36" w:history="1">
        <w:r w:rsidR="00C4415F">
          <w:rPr>
            <w:color w:val="0000FF"/>
          </w:rPr>
          <w:t>Правила</w:t>
        </w:r>
      </w:hyperlink>
      <w:r w:rsidR="00C4415F">
        <w:t xml:space="preserve"> проведения технического осмотра транспортных средств;</w:t>
      </w:r>
    </w:p>
    <w:p w:rsidR="00C4415F" w:rsidRDefault="00FD3AD3">
      <w:pPr>
        <w:pStyle w:val="ConsPlusNormal"/>
        <w:spacing w:before="220"/>
        <w:ind w:firstLine="540"/>
        <w:jc w:val="both"/>
      </w:pPr>
      <w:hyperlink w:anchor="P1587" w:history="1">
        <w:r w:rsidR="00C4415F">
          <w:rPr>
            <w:color w:val="0000FF"/>
          </w:rPr>
          <w:t>изменения</w:t>
        </w:r>
      </w:hyperlink>
      <w:r w:rsidR="00C4415F">
        <w:t>, которые вносятся в акты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технического осмотра транспортных средств, утвержденные настоящим постановлением, вступают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 и действуют в течение 6 лет со дня вступления в силу этого Федерального </w:t>
      </w:r>
      <w:hyperlink r:id="rId8" w:history="1">
        <w:r>
          <w:rPr>
            <w:color w:val="0000FF"/>
          </w:rPr>
          <w:t>закона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</w:t>
      </w:r>
      <w:hyperlink w:anchor="P1595" w:history="1">
        <w:r>
          <w:rPr>
            <w:color w:val="0000FF"/>
          </w:rPr>
          <w:t>Пункт 2</w:t>
        </w:r>
      </w:hyperlink>
      <w:r>
        <w:t xml:space="preserve"> изменений, утвержденных настоящим постановлением, вступает в силу со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Председатель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М.МИШУСТИН</w:t>
      </w:r>
    </w:p>
    <w:p w:rsidR="00C4415F" w:rsidRDefault="00C4415F">
      <w:pPr>
        <w:pStyle w:val="ConsPlusNormal"/>
        <w:jc w:val="right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Правила </w:t>
            </w:r>
            <w:hyperlink w:anchor="P1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до 01.03.2027.</w:t>
            </w:r>
          </w:p>
        </w:tc>
      </w:tr>
    </w:tbl>
    <w:p w:rsidR="00C4415F" w:rsidRDefault="00C4415F">
      <w:pPr>
        <w:pStyle w:val="ConsPlusNormal"/>
        <w:spacing w:before="280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lastRenderedPageBreak/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3" w:name="P36"/>
      <w:bookmarkEnd w:id="3"/>
      <w:r>
        <w:t>ПРАВИЛА</w:t>
      </w:r>
    </w:p>
    <w:p w:rsidR="00C4415F" w:rsidRDefault="00C4415F">
      <w:pPr>
        <w:pStyle w:val="ConsPlusTitle"/>
        <w:jc w:val="center"/>
      </w:pPr>
      <w:r>
        <w:t>ПРОВЕДЕНИЯ ТЕХНИЧЕСКОГО ОСМОТРА ТРАНСПОРТНЫХ СРЕДСТВ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I. Общие положения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1. Настоящие Правила устанавливают: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а) порядок оказания услуг по проведению технического осмотра транспортных средств, в том числе с использованием передвижной диагностической линии, включая процедуру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средств, проводимую в форме технического диагностирования,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Федерации, также за ее пределами (далее - технический осмотр);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б) особенности проведения технического осмотра вне пунктов технического осмотра с использованием передвижных диагностических линий;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в) порядок аннулирования диагностической карты.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ТО ТС органов, осуществляющих оперативно-разыскную деятельность (за исключением специально оборудованных), проводится в порядке, установленном данными Правилами (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17.04.2013 N 348 (ред. от 15.09.2020)).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r>
        <w:t>2. Настоящие Правила не применяются к отношениям, связанным с проведением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иных машин, которые имеют двигатель внутреннего сгорания объемом более 50 куб. сантиметров или электродвигатель максимальной мощностью более 4 киловатт, и прицепов к ним и которые зарегистрированы (или подлежат государственной регистрации) органами, осуществляющими государственный надзор за техническим состоянием самоходных машин и других видов техники, если иное не установлено актами Правительства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Обязательные требования безопасности транспортных средств, предъявляемые при проведении технического осмотра к транспортным средствам отдельных категорий, приведены в </w:t>
      </w:r>
      <w:hyperlink w:anchor="P97" w:history="1">
        <w:r>
          <w:rPr>
            <w:color w:val="0000FF"/>
          </w:rPr>
          <w:t>приложении N 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4. При проведении технического осмотра к транспортным средствам не применяются требования, касающиеся наличия подлежащих проверке элементов конструкции, которые не были предусмотрены на транспортном средстве на момент его выпуска в обращение, при условии отсутствия внесения изменений в его конструкцию в части указанных элементов и содержащих их узлов и агрегатов, за исключением требований, касающихся наличия тахографа или контрольного </w:t>
      </w:r>
      <w:r>
        <w:lastRenderedPageBreak/>
        <w:t xml:space="preserve">устройства (тахографа) регистрации режима труда и отдыха водителей транспортных средств, предусмотренного Европейским </w:t>
      </w:r>
      <w:hyperlink r:id="rId12" w:history="1">
        <w:r>
          <w:rPr>
            <w:color w:val="0000FF"/>
          </w:rPr>
          <w:t>соглашением</w:t>
        </w:r>
      </w:hyperlink>
      <w:r>
        <w:t>, касающимся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5. Технический осмотр проводится операторами технического осмотра, аккредитованными в установленном </w:t>
      </w:r>
      <w:hyperlink r:id="rId13" w:history="1">
        <w:r>
          <w:rPr>
            <w:color w:val="0000FF"/>
          </w:rPr>
          <w:t>порядке</w:t>
        </w:r>
      </w:hyperlink>
      <w:r>
        <w:t xml:space="preserve"> для проведения технического осмотра в области аккредитации, соответствующей категориям транспортных средств, предусмотренным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975" w:history="1">
        <w:r>
          <w:rPr>
            <w:color w:val="0000FF"/>
          </w:rPr>
          <w:t>2</w:t>
        </w:r>
      </w:hyperlink>
      <w:r>
        <w:t xml:space="preserve"> (далее - операторы технического осмотра).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6. Проведение технического осмотра осуществляется на платной основе в соответствии с договором о проведении технического осмотра, заключаемым владельцем транспортного средства или его представителем, в том числе представителем, действующим на основании доверенности, оформленной в простой письменной форме (далее - заявитель), и оператором технического осмотра по типовой форме, утвержденной Министерством экономического развития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7. Размер платы за проведение технического осмотра и размер платы за проведение повторного технического осмотра, который определяется объемом выполненных работ, устанавливаются оператором технического осмотра и не могут превышать предельный размер платы за проведение технического осмотра, установленный высшим исполнительным органом государственной власти субъекта Российской Федерации в соответствии с </w:t>
      </w:r>
      <w:hyperlink r:id="rId14" w:history="1">
        <w:r>
          <w:rPr>
            <w:color w:val="0000FF"/>
          </w:rPr>
          <w:t>методикой</w:t>
        </w:r>
      </w:hyperlink>
      <w:r>
        <w:t>, утвержденной Федеральной антимонопольной службой.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8. Операторы технического осмотра обеспечивают размещение в информационно-телекоммуникационной сети "Интернет" и в удобном для ознакомления владельцами транспортных средств месте и виде в пунктах технического осмотра и местах работы передвижных диагностических линий (при наличии) текста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техническом осмотре транспортных средств и о внесении изменений в отдельные законодательные акты Российской Федерации", настоящих Правил, информации справочного характера (в том числе адресов оператора технического осмотра, пунктов технического осмотра и мест работы передвижных диагностических линий (при наличии), номеров телефонов, адреса электронной почты, адреса сайта оператора технического осмотра в информационно-телекоммуникационной сети "Интернет"), актуальной информации о режиме работы пунктов технического осмотра и передвижных диагностических линий (при наличии), информации о размерах платы за проведение технического осмотра и платы за проведение повторного технического осмотра, перечня </w:t>
      </w:r>
      <w:hyperlink r:id="rId16" w:history="1">
        <w:r>
          <w:rPr>
            <w:color w:val="0000FF"/>
          </w:rPr>
          <w:t>документов</w:t>
        </w:r>
      </w:hyperlink>
      <w:r>
        <w:t xml:space="preserve">, необходимых для прохождения технического осмотра, копии аттестата аккредитации оператора технического осмотра и сведений о наличии передвижных диагностических линий (при наличии), типовой </w:t>
      </w:r>
      <w:hyperlink r:id="rId17" w:history="1">
        <w:r>
          <w:rPr>
            <w:color w:val="0000FF"/>
          </w:rPr>
          <w:t>формы</w:t>
        </w:r>
      </w:hyperlink>
      <w:r>
        <w:t xml:space="preserve"> договора о проведении технического осмотра, а также информации о возможности предварительной записи на технический осмотр.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II. Порядок оказания услуг по проведению</w:t>
      </w:r>
    </w:p>
    <w:p w:rsidR="00C4415F" w:rsidRDefault="00C4415F">
      <w:pPr>
        <w:pStyle w:val="ConsPlusTitle"/>
        <w:jc w:val="center"/>
      </w:pPr>
      <w:r>
        <w:t>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bookmarkStart w:id="4" w:name="P60"/>
      <w:bookmarkEnd w:id="4"/>
      <w:r>
        <w:t>9. Для проведения технического осмотра заявитель обращается к любому оператору технического осмотра в любой пункт технического осмотра вне зависимости от места государственной регистрации транспортного средства и представляет транспортное средство, а также следующие документы: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документ</w:t>
        </w:r>
      </w:hyperlink>
      <w:r>
        <w:t>, удостоверяющий личность;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10. В случае непредставления заявителем указанных в </w:t>
      </w:r>
      <w:hyperlink w:anchor="P60" w:history="1">
        <w:r>
          <w:rPr>
            <w:color w:val="0000FF"/>
          </w:rPr>
          <w:t>пункте 9</w:t>
        </w:r>
      </w:hyperlink>
      <w:r>
        <w:t xml:space="preserve"> настоящих Правил документов либо в случае отказа от оплаты услуг по проведению технического осмотра оператор технического осмотра отказывает заявителю в оказании услуг по проведению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11. Оператор технического осмотра устанавливает тождественность идентификационного номера транспортного средства и (или) идентификационных номеров основных компонентов транспортного средства (кузова, рамы, кабины) и данных, содержащихся в свидетельстве о регистрации транспортного средства или паспорте транспортного средства (электронном паспорте транспортного средства).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несоответствии данных транспортного средства, в том числе его идентификационного номера и (или) идентификационных номеров его основных компонентов (кузова, рамы, кабины), данным документов, идентифицирующих это транспортное средство, оператор технического осмотра вносит в единую автоматизированную информационную систему технического осмотра информацию об отказе в оказании услуг по проведению технического осмотра. Такая информация содержит указание на выявленные несоответствия.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При соответствии данных транспортного средства данным документов, идентифицирующих транспортное средство, это транспортное средство допускается к проведению технического диагностирования.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До начала проведения технического диагностирования заявителем производится оплата услуг, оказываемых по договору о проведении технического осмотра, что подтверждает заключение указанного договора.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12. Техническое диагностирование осуществляется техническими экспертами, отвечающими </w:t>
      </w:r>
      <w:hyperlink r:id="rId20" w:history="1">
        <w:r>
          <w:rPr>
            <w:color w:val="0000FF"/>
          </w:rPr>
          <w:t>квалификационным требованиям</w:t>
        </w:r>
      </w:hyperlink>
      <w:r>
        <w:t>, установленным Министерством промышленности и торговли Российской Федерации,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13. Техническое диагностирование проводится с помощью средств технического диагностирования и методов органолептического контроля на пунктах технического осмотра или с использованием передвижных диагностических линий, обеспечивающих выполнение в полном объеме процедуры технического осмотра в соответствии с требованиями к производственно-технической базе, фотографическому изображению транспортного средства, точности определения координат места проведения технического диагностирования и требованиями документов, содержащихся в </w:t>
      </w:r>
      <w:hyperlink r:id="rId21" w:history="1">
        <w:r>
          <w:rPr>
            <w:color w:val="0000FF"/>
          </w:rPr>
          <w:t>перечне</w:t>
        </w:r>
      </w:hyperlink>
      <w:r>
        <w:t xml:space="preserve">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утвержденном распоряжением Правительства Российской Федерации от 4 ноября 2017 г. N 2438-р.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14. Продолжительность технического диагностирования транспортных средств отдельных категорий приводится в </w:t>
      </w:r>
      <w:hyperlink w:anchor="P975" w:history="1">
        <w:r>
          <w:rPr>
            <w:color w:val="0000FF"/>
          </w:rPr>
          <w:t>приложении N 2</w:t>
        </w:r>
      </w:hyperlink>
      <w:r>
        <w:t xml:space="preserve"> к настоящим Правилам.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15. По результатам технического осмотра оператор оформляет в единой автоматизированной информационной системе технического осмотра диагностическую карту по форме согласно </w:t>
      </w:r>
      <w:hyperlink w:anchor="P1129" w:history="1">
        <w:r>
          <w:rPr>
            <w:color w:val="0000FF"/>
          </w:rPr>
          <w:t>приложению N 3</w:t>
        </w:r>
      </w:hyperlink>
      <w:r>
        <w:t>, содержащую заключение о соответствии или несоответствии транспортного средства обязательным требованиям безопасности транспортных средств (подтверждающую или не подтверждающую допуск транспортного средства к участию в дорожном движении), которая подписывается усиленной квалифицированной электронной подписью технического эксперта, проводившего техническое диагностирование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По запросу заявителя оператор технического осмотра выдает диагностическую карту на бумажном носителе, которая заверяется подписью технического эксперта, проводившего техническое диагностирование, и печатью оператора технического осмотра.</w:t>
      </w:r>
    </w:p>
    <w:p w:rsidR="00C4415F" w:rsidRDefault="00FD3AD3">
      <w:pPr>
        <w:pStyle w:val="ConsPlusNormal"/>
        <w:spacing w:before="220"/>
        <w:ind w:firstLine="540"/>
        <w:jc w:val="both"/>
      </w:pPr>
      <w:hyperlink r:id="rId22" w:history="1">
        <w:r w:rsidR="00C4415F">
          <w:rPr>
            <w:color w:val="0000FF"/>
          </w:rPr>
          <w:t>Правила</w:t>
        </w:r>
      </w:hyperlink>
      <w:r w:rsidR="00C4415F">
        <w:t xml:space="preserve"> заполнения диагностической карты утверждаются Министерством транспорта Российской Федерации.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16. Транспортное средство, в отношении которого оформлена диагностическая карта, содержащая заключение о несоответствии транспортного средства обязательным требованиям безопасности транспортных средств (не подтверждающая допуск транспортного средства к участию в дорожном движении), подлежит повторному техническому осмотру, проводимому в порядке, предусмотренном настоящими Правилами, с учетом особенностей, установленных </w:t>
      </w:r>
      <w:hyperlink r:id="rId23" w:history="1">
        <w:r>
          <w:rPr>
            <w:color w:val="0000FF"/>
          </w:rPr>
          <w:t>статьей 18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III. Особенности проведения технического осмотра</w:t>
      </w:r>
    </w:p>
    <w:p w:rsidR="00C4415F" w:rsidRDefault="00C4415F">
      <w:pPr>
        <w:pStyle w:val="ConsPlusTitle"/>
        <w:jc w:val="center"/>
      </w:pPr>
      <w:r>
        <w:t>вне пунктов технического осмотра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17. Проведение технического осмотра вне пунктов технического осмотра организуется с использованием передвижных диагностических линий в целях выполнения нормативов минимальной обеспеченности населения пунктами технического осмотра, предусмотренных </w:t>
      </w:r>
      <w:hyperlink r:id="rId24" w:history="1">
        <w:r>
          <w:rPr>
            <w:color w:val="0000FF"/>
          </w:rPr>
          <w:t>статьей 6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18. Оператор технического осмотра, являющийся владельцем передвижной диагностической линии, проводит технический осмотр с использованием передвижной диагностической линии в границах субъекта Российской Федерации, в котором расположен пункт технического осмотра такого оператора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19. Адреса (координаты) мест проведения технического осмотра, в том числе с использованием передвижной диагностической линии, во входящих в состав субъекта Российской Федерации муниципальных образованиях, в которых не соблюдаются нормативы минимальной обеспеченности населения пунктами технического осмотра, согласовываются оператором технического осмотра с исполнительным органом государственной власти субъекта Российской Федерации, уполномоченным на принятие мер по организации проведения технического осмотра.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20. График работы пункта технического осмотра, использующего передвижную диагностическую линию (с учетом климатических условий эксплуатации, установленных заводом-изготовителем передвижных диагностических линий), согласовывается с исполнительным органом государственной власти субъекта Российской Федерации, уполномоченным на принятие мер по организации технического осмотра в регионе.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  <w:outlineLvl w:val="1"/>
      </w:pPr>
      <w:r>
        <w:t>IV. Порядок аннулирования диагностической карты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21. В случаях, указанных в </w:t>
      </w:r>
      <w:hyperlink r:id="rId25" w:history="1">
        <w:r>
          <w:rPr>
            <w:color w:val="0000FF"/>
          </w:rPr>
          <w:t>части 10 статьи 19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диагностическая карта аннулируется органом государственного контроля (надзора) за организацией и проведением технического осмотра транспортных средств путем внесения уполномоченным должностным лицом этого органа соответствующих сведений в единую автоматизированную информационную систему технического осмотра на основании решения руководителя (заместителя руководителя) такого органа одновременно с принятием решения о привлечении к административной ответственности оператора технического осмотра транспортного средства в соответствии со </w:t>
      </w:r>
      <w:hyperlink r:id="rId26" w:history="1">
        <w:r>
          <w:rPr>
            <w:color w:val="0000FF"/>
          </w:rPr>
          <w:t>статьей 14.4.1</w:t>
        </w:r>
      </w:hyperlink>
      <w:r>
        <w:t xml:space="preserve"> Кодекса Российской Федерации об административных правонарушениях.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22. Орган государственного контроля (надзора) за организацией и проведением технического осмотра транспортных средств в течение 3 рабочих дней со дня аннулирования диагностической карты информирует о таком аннулировании страховщика, заключившего договор обязательного страхования гражданской ответственности владельцев транспортных средств на основании такой диагностической карты, и (или) профессиональное объединение страховщиков, а также собственника транспортного средства.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1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5" w:name="P97"/>
      <w:bookmarkEnd w:id="5"/>
      <w:r>
        <w:t>ОБЯЗАТЕЛЬНЫЕ ТРЕБОВАНИЯ</w:t>
      </w:r>
    </w:p>
    <w:p w:rsidR="00C4415F" w:rsidRDefault="00C4415F">
      <w:pPr>
        <w:pStyle w:val="ConsPlusTitle"/>
        <w:jc w:val="center"/>
      </w:pPr>
      <w:r>
        <w:t>БЕЗОПАСНОСТИ ТРАНСПОРТНЫХ СРЕДСТВ, ПРЕДЪЯВЛЯЕМЫЕ</w:t>
      </w:r>
    </w:p>
    <w:p w:rsidR="00C4415F" w:rsidRDefault="00C4415F">
      <w:pPr>
        <w:pStyle w:val="ConsPlusTitle"/>
        <w:jc w:val="center"/>
      </w:pPr>
      <w:r>
        <w:t>ПРИ ПРОВЕДЕНИИ ТЕХНИЧЕСКОГО ОСМОТРА К ТРАНСПОРТНЫМ</w:t>
      </w:r>
    </w:p>
    <w:p w:rsidR="00C4415F" w:rsidRDefault="00C4415F">
      <w:pPr>
        <w:pStyle w:val="ConsPlusTitle"/>
        <w:jc w:val="center"/>
      </w:pPr>
      <w:r>
        <w:t>СРЕДСТВАМ ОТДЕЛЬНЫХ КАТЕГОРИЙ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30.01.2021 N 89)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sectPr w:rsidR="00C4415F" w:rsidSect="00AD1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926"/>
        <w:gridCol w:w="926"/>
        <w:gridCol w:w="926"/>
        <w:gridCol w:w="926"/>
        <w:gridCol w:w="926"/>
        <w:gridCol w:w="926"/>
        <w:gridCol w:w="926"/>
        <w:gridCol w:w="926"/>
        <w:gridCol w:w="931"/>
      </w:tblGrid>
      <w:tr w:rsidR="00C4415F">
        <w:tc>
          <w:tcPr>
            <w:tcW w:w="53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 транспортных средств</w:t>
            </w:r>
          </w:p>
        </w:tc>
        <w:tc>
          <w:tcPr>
            <w:tcW w:w="83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Категории транспортных средств </w:t>
            </w:r>
            <w:hyperlink w:anchor="P95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4415F">
        <w:tc>
          <w:tcPr>
            <w:tcW w:w="5329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/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I. Тормозные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1. Показатели эффективности тормозной системы и устойчивости транспортного средства должны соответствовать требованиям </w:t>
            </w:r>
            <w:hyperlink r:id="rId28" w:history="1">
              <w:r>
                <w:rPr>
                  <w:color w:val="0000FF"/>
                </w:rPr>
                <w:t>пунктов 1.2</w:t>
              </w:r>
            </w:hyperlink>
            <w:r>
              <w:t xml:space="preserve"> - </w:t>
            </w:r>
            <w:hyperlink r:id="rId29" w:history="1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1.10</w:t>
              </w:r>
            </w:hyperlink>
            <w:r>
              <w:t xml:space="preserve"> приложения N 8 к техническому регламенту Таможенного союза "О безопасности колесных транспортных средств" (ТР ТС 018/2011), утвержденному решением Комиссии Таможенного союза от 9 декабря 2011 г. N 877 (далее - ТР ТС 018/2011)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2. При проверках на стендах допускается относительная разность тормозных сил колес оси согласно </w:t>
            </w:r>
            <w:hyperlink r:id="rId32" w:history="1">
              <w:r>
                <w:rPr>
                  <w:color w:val="0000FF"/>
                </w:rPr>
                <w:t>пункту 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3. Рабочая тормозная система автопоездов с пневматическим тормозным приводом в режиме аварийного (автоматического) торможения должна быть работоспособна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4. Утечки сжатого воздуха из колесных тормозных камер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5. Подтекания тормозной жидкости, нарушения герметичности трубопроводов или соединений в гидравлическом тормозном приводе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6. Коррозия, грозящая потерей герметичности или разрушением,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7. Механические повреждения тормозных трубопроводов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8. Наличие деталей с трещинами или остаточной деформацией в тормозном приводе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9. Средства сигнализации и контроля тормозных систем, манометры пневматического и пневмогидравлического тормозного привода, устройство фиксации органа управления стояночной тормозной системы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10. Набухание тормозных шлангов под давлением, наличие трещин на них и видимых мест перетирания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11. Расположение и длина соединительных шлангов пневматического тормозного привода автопоездов должны исключать их повреждения при взаимных перемещениях тягача и прицепа (полуприцепа)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II. Рулевое управление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12. Изменение усилия при повороте рулевого колеса должно быть плавным во всем диапазоне угла его поворота. Неработоспособность усилителя рулевого управления транспортного средства (при его наличии на транспортном средстве)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13. Самопроизвольный поворот рулевого колеса с усилителем рулевого управления от нейтрального положения при работающем двигателе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14. Суммарный люфт в рулевом управлении не должен превышать предельных значений, установленных изготовителем транспортного средства, а при отсутствии указанных данных - предельных значений, указанных в </w:t>
            </w:r>
            <w:hyperlink r:id="rId33" w:history="1">
              <w:r>
                <w:rPr>
                  <w:color w:val="0000FF"/>
                </w:rPr>
                <w:t>пункте 2.3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15. Повреждения и отсутствие деталей крепления рулевой колонки и картера рулевого механизма, а также повышение подвижности деталей рулевого привода относительно друг друга или кузова (рамы), не предусмотренное изготовителем транспортного средства (в эксплуатационной документации), не допускаются. Резьбовые соединения должны быть затянуты и зафиксированы способом, предусмотренным изготовителем транспортного средства. Люфт в соединениях рычагов поворотных цапф и шарнирах рулевых тяг не допускается. Устройство фиксации положения рулевой колонки с регулируемым положением рулевого колеса должно быть работоспособно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16. Применение в рулевом механизме и рулевом приводе деталей со следами остаточной деформации, с трещинами и другими дефектами, неработоспособность или отсутствие предусмотренного изготовителем транспортного средства в эксплуатационной документации транспортного средства рулевого демпфера и усилителя рулевого управления не допускаются. Подтекание рабочей жидкости в гидросистеме усилителя рулевого управления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17. Максимальный поворот рулевого колеса должен ограничиваться только устройствами, предусмотренными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III. Внешние световые приборы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18. На транспортных средствах применение устройств освещения и световой сигнализации определяется требованиями </w:t>
            </w:r>
            <w:hyperlink r:id="rId34" w:history="1">
              <w:r>
                <w:rPr>
                  <w:color w:val="0000FF"/>
                </w:rPr>
                <w:t>пунктов 3.1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3.5</w:t>
              </w:r>
            </w:hyperlink>
            <w:r>
              <w:t xml:space="preserve">, а также </w:t>
            </w:r>
            <w:hyperlink r:id="rId36" w:history="1">
              <w:r>
                <w:rPr>
                  <w:color w:val="0000FF"/>
                </w:rPr>
                <w:t>таблицы 3.1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19. Отсутствие, разрушения и загрязнения рассеивателей внешних световых приборов и установка не предусмотренных конструкцией светового прибора оптических элементов (в том числе бесцветных или окрашенных оптических деталей и пленок) не допускаются.</w:t>
            </w:r>
          </w:p>
          <w:p w:rsidR="00C4415F" w:rsidRDefault="00C4415F">
            <w:pPr>
              <w:pStyle w:val="ConsPlusNormal"/>
            </w:pPr>
            <w:r>
              <w:t xml:space="preserve">Указанное требование не распространяется на оптические элементы, предназначенные для коррекции светового пучка фар в целях приведения его в соответствие с требованиями </w:t>
            </w:r>
            <w:hyperlink r:id="rId37" w:history="1">
              <w:r>
                <w:rPr>
                  <w:color w:val="0000FF"/>
                </w:rPr>
                <w:t>ТР ТС 018/2011</w:t>
              </w:r>
            </w:hyperlink>
            <w:r>
              <w:t>.</w:t>
            </w:r>
          </w:p>
          <w:p w:rsidR="00C4415F" w:rsidRDefault="00C4415F">
            <w:pPr>
              <w:pStyle w:val="ConsPlusNormal"/>
            </w:pPr>
            <w:r>
              <w:t xml:space="preserve">В случае установки оптических элементов, предназначенных для коррекции светового пучка фар в целях приведения его в соответствие с требованиями </w:t>
            </w:r>
            <w:hyperlink r:id="rId38" w:history="1">
              <w:r>
                <w:rPr>
                  <w:color w:val="0000FF"/>
                </w:rPr>
                <w:t>ТР ТС 018/2011</w:t>
              </w:r>
            </w:hyperlink>
            <w:r>
              <w:t xml:space="preserve">, подтверждение этого соответствия должно производиться в соответствии с </w:t>
            </w:r>
            <w:hyperlink r:id="rId39" w:history="1">
              <w:r>
                <w:rPr>
                  <w:color w:val="0000FF"/>
                </w:rPr>
                <w:t>разделом 9</w:t>
              </w:r>
            </w:hyperlink>
            <w:r>
              <w:t xml:space="preserve"> приложения N 9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20. Сигналы торможения (основные и дополнительные) должны включаться при воздействии на органы управления рабочей и аварийной тормозных систем и работать в постоянном режиме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21. Углы регулировки и сила света фар должны соответствовать требованиям </w:t>
            </w:r>
            <w:hyperlink r:id="rId40" w:history="1">
              <w:r>
                <w:rPr>
                  <w:color w:val="0000FF"/>
                </w:rPr>
                <w:t>пунктов 3.8.4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3.8.8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22. Изменение мест расположения и демонтаж предусмотренных конструкцией транспортного средства фар и сигнальных фонарей не допускаются </w:t>
            </w:r>
            <w:hyperlink w:anchor="P9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23. Следующие компоненты транспортных средств согласно их типу должны соответствовать требованиям пунктов </w:t>
            </w:r>
            <w:hyperlink r:id="rId42" w:history="1">
              <w:r>
                <w:rPr>
                  <w:color w:val="0000FF"/>
                </w:rPr>
                <w:t>приложения N 8</w:t>
              </w:r>
            </w:hyperlink>
            <w:r>
              <w:t xml:space="preserve"> к ТР ТС 018/2011:</w:t>
            </w:r>
          </w:p>
          <w:p w:rsidR="00C4415F" w:rsidRDefault="00C4415F">
            <w:pPr>
              <w:pStyle w:val="ConsPlusNormal"/>
            </w:pPr>
            <w:r>
              <w:t xml:space="preserve">светоотражающая маркировка - </w:t>
            </w:r>
            <w:hyperlink r:id="rId43" w:history="1">
              <w:r>
                <w:rPr>
                  <w:color w:val="0000FF"/>
                </w:rPr>
                <w:t>пункту 3.7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фары ближнего и дальнего света и противотуманные - </w:t>
            </w:r>
            <w:hyperlink r:id="rId44" w:history="1">
              <w:r>
                <w:rPr>
                  <w:color w:val="0000FF"/>
                </w:rPr>
                <w:t>пункту 3.8.1</w:t>
              </w:r>
            </w:hyperlink>
            <w:r>
              <w:t>;</w:t>
            </w:r>
          </w:p>
          <w:p w:rsidR="00C4415F" w:rsidRDefault="00C4415F">
            <w:pPr>
              <w:pStyle w:val="ConsPlusNormal"/>
            </w:pPr>
            <w:r>
              <w:t xml:space="preserve">источники света в фарах - </w:t>
            </w:r>
            <w:hyperlink r:id="rId45" w:history="1">
              <w:r>
                <w:rPr>
                  <w:color w:val="0000FF"/>
                </w:rPr>
                <w:t>пункту 3.8.2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IV. Стеклоочистители и стеклоомыватели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24. Стеклоочистители и стеклоомыватели должны быть работоспособны. Не допускается демонтаж предусмотренных изготовителем транспортного средства в эксплуатационной документации транспортного средства стеклоочистителей и стеклоомывателей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25. Стеклоомыватель должен обеспечивать подачу жидкости в зоны очистки стекла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V. Шины и колеса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26. Остаточная глубина рисунка протектора шин должна соответствовать требованиям </w:t>
            </w:r>
            <w:hyperlink r:id="rId46" w:history="1">
              <w:r>
                <w:rPr>
                  <w:color w:val="0000FF"/>
                </w:rPr>
                <w:t>пункта 5.6.1</w:t>
              </w:r>
            </w:hyperlink>
            <w:r>
              <w:t xml:space="preserve"> и </w:t>
            </w:r>
            <w:hyperlink r:id="rId47" w:history="1">
              <w:r>
                <w:rPr>
                  <w:color w:val="0000FF"/>
                </w:rPr>
                <w:t>5.6.2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27. Шина считается непригодной к эксплуатации в случаях, установленных </w:t>
            </w:r>
            <w:hyperlink r:id="rId48" w:history="1">
              <w:r>
                <w:rPr>
                  <w:color w:val="0000FF"/>
                </w:rPr>
                <w:t>пунктами 5.6.1</w:t>
              </w:r>
            </w:hyperlink>
            <w:r>
              <w:t xml:space="preserve"> - </w:t>
            </w:r>
            <w:hyperlink r:id="rId49" w:history="1">
              <w:r>
                <w:rPr>
                  <w:color w:val="0000FF"/>
                </w:rPr>
                <w:t>5.6.5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28. Отсутствие хотя бы одного болта или гайки крепления дисков и ободьев колес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29. Наличие трещин на дисках и ободьях колес, а также следов их устранения сваркой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30. Видимые нарушения формы и размеров крепежных отверстий в дисках колес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31. Установка на одну ось транспортного средства шин разных размеров, конструкций (радиальной, диагональной, камерной, бескамерной), моделей, с разными рисунками протектора, морозостойких и неморозостойких, новых и восстановленных, новых и с углубленным рисунком протектора не допускается. Шины с шипами противоскольжения в случае их применения должны быть установлены на все колеса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VI. Двигатель и его системы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32. Содержание загрязняющих веществ в отработавших газах транспортных средств должно соответствовать требованиям </w:t>
            </w:r>
            <w:hyperlink r:id="rId50" w:history="1">
              <w:r>
                <w:rPr>
                  <w:color w:val="0000FF"/>
                </w:rPr>
                <w:t>пунктов 9.1</w:t>
              </w:r>
            </w:hyperlink>
            <w:r>
              <w:t xml:space="preserve"> и </w:t>
            </w:r>
            <w:hyperlink r:id="rId51" w:history="1">
              <w:r>
                <w:rPr>
                  <w:color w:val="0000FF"/>
                </w:rPr>
                <w:t>9.2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33. Подтекание и каплепадение топлива в системе питания бензиновых и дизельных двигателей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34. Запорные устройства топливных баков и устройства перекрытия топлива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35. Система питания газобаллонных транспортных средств, ее размещение и установка должны соответствовать требованиям </w:t>
            </w:r>
            <w:hyperlink r:id="rId52" w:history="1">
              <w:r>
                <w:rPr>
                  <w:color w:val="0000FF"/>
                </w:rPr>
                <w:t>пункта 9.8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36. Уровень шума выпускной системы транспортного средства должен соответствовать требованиям </w:t>
            </w:r>
            <w:hyperlink r:id="rId53" w:history="1">
              <w:r>
                <w:rPr>
                  <w:color w:val="0000FF"/>
                </w:rPr>
                <w:t>пункта 9.9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  <w:outlineLvl w:val="2"/>
            </w:pPr>
            <w:r>
              <w:t>VII. Прочие элементы конструкции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37. Транспортное средство должно быть укомплектовано обеспечивающими поля обзора зеркалами заднего вида согласно </w:t>
            </w:r>
            <w:hyperlink r:id="rId54" w:history="1">
              <w:r>
                <w:rPr>
                  <w:color w:val="0000FF"/>
                </w:rPr>
                <w:t>таблице 4.1</w:t>
              </w:r>
            </w:hyperlink>
            <w:r>
              <w:t xml:space="preserve"> приложения N 8 к ТР ТС 018/2011. При отсутствии возможности обзора через задние стекла легковых автомобилей необходима установка наружных зеркал заднего вида с обеих сторон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38. Не допускается наличие дополнительных предметов или покрытий, ограничивающих обзорность с места водителя (за исключением зеркал заднего вида, деталей стеклоочистителей, наружных и нанесенных или встроенных в стекла радиоантенн, нагревательных элементов устройств размораживания и осушения ветрового стекла). В верхней части ветрового стекла допускается крепление полосы прозрачной цветной пленки шириной, соответствующей требованиям </w:t>
            </w:r>
            <w:hyperlink r:id="rId55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39. Светопропускание ветрового стекла и стекол, через которые обеспечивается передняя обзорность для водителя, должно соответствовать требованиям </w:t>
            </w:r>
            <w:hyperlink r:id="rId56" w:history="1">
              <w:r>
                <w:rPr>
                  <w:color w:val="0000FF"/>
                </w:rPr>
                <w:t>пункта 4.3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40. Наличие трещин на ветровых стеклах транспортных средств в зоне очистки стеклоочистителем половины стекла, расположенной со стороны водителя,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41. Замки дверей кузова или кабины, механизмы регулировки и фиксирующие устройства сидений водителя и пассажиров, устройство обогрева и обдува ветрового стекла и предусмотренное изготовителем транспортного средства противоугонное устройство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42. Запоры бортов грузовой платформы и запоры горловин цистерн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43. Аварийный выключатель дверей и сигнал требования остановки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44. Аварийные выходы и устройства приведения их в действие, приборы внутреннего освещения салона, привод управления дверями и сигнализация их работы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45. Транспортное средство должно быть укомплектовано звуковым сигнальным прибором в рабочем состоянии. Звуковой сигнальный прибор должен при приведении в действие органа его управления издавать непрерывный и монотонный звук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46. Аварийные выходы должны быть обозначены и иметь таблички, содержащие правила их использования. Должен быть обеспечен свободный доступ к аварийным выходам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47. Задние и боковые защитные устройства должны соответствовать требованиям </w:t>
            </w:r>
            <w:hyperlink r:id="rId57" w:history="1">
              <w:r>
                <w:rPr>
                  <w:color w:val="0000FF"/>
                </w:rPr>
                <w:t>пункта 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48. Замок седельно-сцепного устройства седельных автомобилей-тягачей должен после сцепки закрываться автоматически. Ручная и автоматическая блокировки седельно-сцепного устройства должны предотвращать самопроизвольное расцепление тягача и полуприцепа. Деформации, разрывы, трещины и другие видимые повреждения сцепного шкворня, гнезда шкворня, опорной плиты, тягового крюка, шара тягово-сцепного устройства, трещины, разрушения, в том числе местные, или отсутствие деталей сцепных устройств и их крепления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49. Одноосные прицепы (за исключением роспусков) и прицепы, не оборудованные рабочей тормозной системой, должны быть оборудованы предохранительными приспособлениями (цепями, тросами), которые должны быть работоспособны. Длина предохранительных цепей (тросов) должна предотвращать контакт сцепной петли дышла с дорожной поверхностью и при этом обеспечивать управление прицепом в случае обрыва (поломки) тягово-сцепного устройства. Предохранительные цепи (тросы) не должны крепиться к деталям тягово-сцепного устройства или деталям его крепления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50. Прицепы (за исключением одноосных и роспусков) должны быть оборудованы устройством, поддерживающим сцепную петлю дышла в положении, облегчающем сцепку и расцепку с тяговым автомобилем. Деформации сцепной петли или дышла прицепа, грубо нарушающие их положение относительно продольной центральной плоскости симметрии прицепа, разрывы, трещины и другие видимые повреждения сцепной петли или дышла прицепа не допускаются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51. Продольный люфт в беззазорных тягово-сцепных устройствах с тяговой вилкой для сцепленного с прицепом тягача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52. Тягово-сцепные устройства должны обеспечивать беззазорную сцепку сухарей замкового устройства с шаром. Самопроизвольная расцепка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53. К размерным характеристикам сцепных устройств применяются требования, предусмотренные </w:t>
            </w:r>
            <w:hyperlink r:id="rId58" w:history="1">
              <w:r>
                <w:rPr>
                  <w:color w:val="0000FF"/>
                </w:rPr>
                <w:t>пунктом 6.8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54. Места для сидения в транспортных средствах, конструкция которых предусматривает наличие ремней безопасности, должны быть ими оборудованы в соответствии с требованиями нормативных правовых актов, действовавших на дату выпуска транспортного средства в обращение. Ремни безопасности не должны иметь следующих дефектов:</w:t>
            </w:r>
          </w:p>
          <w:p w:rsidR="00C4415F" w:rsidRDefault="00C4415F">
            <w:pPr>
              <w:pStyle w:val="ConsPlusNormal"/>
            </w:pPr>
            <w:r>
              <w:t>надрыв на лямке, видимый невооруженным глазом;</w:t>
            </w:r>
          </w:p>
          <w:p w:rsidR="00C4415F" w:rsidRDefault="00C4415F">
            <w:pPr>
              <w:pStyle w:val="ConsPlusNormal"/>
            </w:pPr>
            <w:r>
              <w:t>замок не фиксирует "язык" лямки или не выбрасывает его после нажатия на кнопку замыкающего устройства;</w:t>
            </w:r>
          </w:p>
          <w:p w:rsidR="00C4415F" w:rsidRDefault="00C4415F">
            <w:pPr>
              <w:pStyle w:val="ConsPlusNormal"/>
            </w:pPr>
            <w:r>
              <w:t>лямка не вытягивается или не втягивается во втягивающее устройство (катушку);</w:t>
            </w:r>
          </w:p>
          <w:p w:rsidR="00C4415F" w:rsidRDefault="00C4415F">
            <w:pPr>
              <w:pStyle w:val="ConsPlusNormal"/>
            </w:pPr>
            <w:r>
              <w:t>при резком вытягивании лямки ремня не обеспечивается прекращение (блокирование) ее вытягивания из втягивающего устройства (катушки)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55. Транспортные средства (кроме транспортных средств категорий O, L</w:t>
            </w:r>
            <w:r>
              <w:rPr>
                <w:vertAlign w:val="subscript"/>
              </w:rPr>
              <w:t>1</w:t>
            </w:r>
            <w:r>
              <w:t xml:space="preserve"> - L</w:t>
            </w:r>
            <w:r>
              <w:rPr>
                <w:vertAlign w:val="subscript"/>
              </w:rPr>
              <w:t>4</w:t>
            </w:r>
            <w:r>
              <w:t xml:space="preserve">) должны быть укомплектованы знаком аварийной остановки, а также медицинскими аптечками в соответствии с требованиями </w:t>
            </w:r>
            <w:hyperlink r:id="rId59" w:history="1">
              <w:r>
                <w:rPr>
                  <w:color w:val="0000FF"/>
                </w:rPr>
                <w:t>пунктов 11.1</w:t>
              </w:r>
            </w:hyperlink>
            <w:r>
              <w:t xml:space="preserve"> и </w:t>
            </w:r>
            <w:hyperlink r:id="rId60" w:history="1">
              <w:r>
                <w:rPr>
                  <w:color w:val="0000FF"/>
                </w:rPr>
                <w:t>11.2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56. Транспортные средства должны быть укомплектованы не менее чем 2 противооткатными упорами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57. Транспортные средства должны быть укомплектованы огнетушителями в соответствии с требованиями </w:t>
            </w:r>
            <w:hyperlink r:id="rId61" w:history="1">
              <w:r>
                <w:rPr>
                  <w:color w:val="0000FF"/>
                </w:rPr>
                <w:t>пункта 11.4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58. Поручни в автобусах, запасное колесо, аккумуляторные батареи, сиденья, а также огнетушители и медицинская аптечка на транспортных средствах, оборудованных приспособлениями для их крепления, должны быть надежно закреплены в местах, предусмотренных конструкцией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59. На транспортных средствах, оборудованных механизмами продольной регулировки положения подушки и угла наклона спинки сиденья или механизмом перемещения сиденья (для посадки и высадки пассажиров), указанные механизмы должны быть работоспособны. После прекращения регулирования или пользования эти механизмы должны автоматически блокироваться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60. Транспортные средства технически допустимой максимальной массой свыше 7,5 тонны должны быть оборудованы надколесными грязезащитными устройствами. Ширина этих устройств должна быть не менее ширины применяемых шин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61. Вертикальная статическая нагрузка на тяговое устройство автомобиля от цепной петли одноосного прицепа (прицепа-роспуска) в снаряженном состоянии должна соответствовать требованиям </w:t>
            </w:r>
            <w:hyperlink r:id="rId62" w:history="1">
              <w:r>
                <w:rPr>
                  <w:color w:val="0000FF"/>
                </w:rPr>
                <w:t>пункта 2.3</w:t>
              </w:r>
            </w:hyperlink>
            <w:r>
              <w:t xml:space="preserve"> приложения N 5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62. Держатель запасного колеса, лебедка и механизм подъема-опускания запасного колеса должны быть работоспособны. Храповое устройство лебедки должно четко фиксировать барабан с крепежным канатом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63. Механизмы подъема и опускания опор и фиксаторы транспортного положения опор, предназначенные для предотвращения их самопроизвольного опускания при движении транспортного средства, должны быть работоспособны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64. Каплепадение масел и рабочих жидкостей из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транспортных средствах гидравлических устройств не допускается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65. На каждом транспортном средстве категорий M и N должны быть предусмотрены места установки одного переднего и одного заднего государственного регистрационного знака.</w:t>
            </w:r>
          </w:p>
          <w:p w:rsidR="00C4415F" w:rsidRDefault="00C4415F">
            <w:pPr>
              <w:pStyle w:val="ConsPlusNormal"/>
            </w:pPr>
            <w:r>
              <w:t>На транспортных средствах категорий L и O должны быть предусмотрены места установки одного заднего государственного регистрационного знака. Место для установки государственного регистрационного знака должно представлять собой плоскую вертикальную поверхность и располагаться таким образом, чтобы исключалось загораживание государственного регистрационного знака элементами конструкции транспортного средства. При этом государственные регистрационные знаки не должны уменьшать углы переднего и заднего свесов транспортного средства, закрывать внешние световые и светосигнальные приборы, выступать за боковой габарит транспортного средства.</w:t>
            </w:r>
          </w:p>
          <w:p w:rsidR="00C4415F" w:rsidRDefault="00C4415F">
            <w:pPr>
              <w:pStyle w:val="ConsPlusNormal"/>
            </w:pPr>
            <w:r>
              <w:t>Государственный регистрационный знак должен устанавливаться по оси симметрии транспортного средства или слева от нее по направлению движения транспортного средства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66. На транспортных средствах, оснащенных устройствами или системами вызова экстренных оперативных служб, такие устройства или системы должны быть работоспособны и соответствовать требованиям </w:t>
            </w:r>
            <w:hyperlink r:id="rId63" w:history="1">
              <w:r>
                <w:rPr>
                  <w:color w:val="0000FF"/>
                </w:rPr>
                <w:t>пункта 118</w:t>
              </w:r>
            </w:hyperlink>
            <w:r>
              <w:t xml:space="preserve"> приложения N 10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67. Изменения в конструкции транспортного средства, внесенные в нарушение требований, установленных </w:t>
            </w:r>
            <w:hyperlink r:id="rId64" w:history="1">
              <w:r>
                <w:rPr>
                  <w:color w:val="0000FF"/>
                </w:rPr>
                <w:t>разделом 4 главы V</w:t>
              </w:r>
            </w:hyperlink>
            <w:r>
              <w:t xml:space="preserve"> ТР ТС 018/2011, не допускаются </w:t>
            </w:r>
            <w:hyperlink w:anchor="P9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68. Транспортные средства категорий M</w:t>
            </w:r>
            <w:r>
              <w:rPr>
                <w:vertAlign w:val="subscript"/>
              </w:rPr>
              <w:t>2</w:t>
            </w:r>
            <w:r>
              <w:t xml:space="preserve"> и M</w:t>
            </w:r>
            <w:r>
              <w:rPr>
                <w:vertAlign w:val="subscript"/>
              </w:rPr>
              <w:t>3</w:t>
            </w:r>
            <w:r>
              <w:t xml:space="preserve"> должны отвечать дополнительным требованиям, установленным в </w:t>
            </w:r>
            <w:hyperlink r:id="rId65" w:history="1">
              <w:r>
                <w:rPr>
                  <w:color w:val="0000FF"/>
                </w:rPr>
                <w:t>разделе 13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69. Специальные транспортные средства оперативных служб должны отвечать дополнительным требованиям, установленным в </w:t>
            </w:r>
            <w:hyperlink r:id="rId66" w:history="1">
              <w:r>
                <w:rPr>
                  <w:color w:val="0000FF"/>
                </w:rPr>
                <w:t>разделе 14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70. Специализированные транспортные средства должны отвечать дополнительным требованиям, установленным </w:t>
            </w:r>
            <w:hyperlink r:id="rId67" w:history="1">
              <w:r>
                <w:rPr>
                  <w:color w:val="0000FF"/>
                </w:rPr>
                <w:t>пунктами 15.1</w:t>
              </w:r>
            </w:hyperlink>
            <w:r>
              <w:t xml:space="preserve"> - </w:t>
            </w:r>
            <w:hyperlink r:id="rId68" w:history="1">
              <w:r>
                <w:rPr>
                  <w:color w:val="0000FF"/>
                </w:rPr>
                <w:t>15.4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15.6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15.8 раздела 15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71. Специальные транспортные средства для коммунального хозяйства и содержания дорог должны отвечать дополнительным требованиям, установленным в </w:t>
            </w:r>
            <w:hyperlink r:id="rId71" w:history="1">
              <w:r>
                <w:rPr>
                  <w:color w:val="0000FF"/>
                </w:rPr>
                <w:t>разделе 16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72. Транспортные средства для перевозки грузов с использованием прицепа-роспуска должны отвечать дополнительным требованиям, установленным в </w:t>
            </w:r>
            <w:hyperlink r:id="rId72" w:history="1">
              <w:r>
                <w:rPr>
                  <w:color w:val="0000FF"/>
                </w:rPr>
                <w:t>разделе 17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73. Автоэвакуаторы должны отвечать дополнительным требованиям, установленным в </w:t>
            </w:r>
            <w:hyperlink r:id="rId73" w:history="1">
              <w:r>
                <w:rPr>
                  <w:color w:val="0000FF"/>
                </w:rPr>
                <w:t>разделе 18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74. Транспортные средства с грузоподъемными устройствами должны отвечать дополнительным требованиям, установленным в </w:t>
            </w:r>
            <w:hyperlink r:id="rId74" w:history="1">
              <w:r>
                <w:rPr>
                  <w:color w:val="0000FF"/>
                </w:rPr>
                <w:t>разделе 19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75. Транспортные средства для перевозки опасных грузов должны отвечать дополнительным требованиям, установленным в </w:t>
            </w:r>
            <w:hyperlink r:id="rId75" w:history="1">
              <w:r>
                <w:rPr>
                  <w:color w:val="0000FF"/>
                </w:rPr>
                <w:t>разделе 20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76. Транспортные средства - цистерны должны отвечать дополнительным требованиям, установленным в </w:t>
            </w:r>
            <w:hyperlink r:id="rId76" w:history="1">
              <w:r>
                <w:rPr>
                  <w:color w:val="0000FF"/>
                </w:rPr>
                <w:t>разделе 21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77. Транспортные средства - цистерны для перевозки и заправки нефтепродуктов должны отвечать дополнительным требованиям, установленным в </w:t>
            </w:r>
            <w:hyperlink r:id="rId77" w:history="1">
              <w:r>
                <w:rPr>
                  <w:color w:val="0000FF"/>
                </w:rPr>
                <w:t>разделе 22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78. Транспортные средства - цистерны для перевозки и заправки сжиженных углеводородных газов должны отвечать дополнительным требованиям, установленным в </w:t>
            </w:r>
            <w:hyperlink r:id="rId78" w:history="1">
              <w:r>
                <w:rPr>
                  <w:color w:val="0000FF"/>
                </w:rPr>
                <w:t>разделе 23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79. Транспортные средства - фургоны должны отвечать дополнительным требованиям, установленным в </w:t>
            </w:r>
            <w:hyperlink r:id="rId79" w:history="1">
              <w:r>
                <w:rPr>
                  <w:color w:val="0000FF"/>
                </w:rPr>
                <w:t>разделе 24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80. Транспортные средства - фургоны, имеющие места для перевозки людей, должны отвечать дополнительным требованиям, установленным в </w:t>
            </w:r>
            <w:hyperlink r:id="rId80" w:history="1">
              <w:r>
                <w:rPr>
                  <w:color w:val="0000FF"/>
                </w:rPr>
                <w:t>разделе 25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81. Транспортные средства для перевозки пищевых продуктов должны отвечать дополнительным требованиям, установленным в </w:t>
            </w:r>
            <w:hyperlink r:id="rId81" w:history="1">
              <w:r>
                <w:rPr>
                  <w:color w:val="0000FF"/>
                </w:rPr>
                <w:t>разделе 26</w:t>
              </w:r>
            </w:hyperlink>
            <w:r>
              <w:t xml:space="preserve"> приложения N 8 к ТР ТС 018/2011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 xml:space="preserve">82. Транспортное средство должно быть оснащено тахографом или контрольным устройством регистрации режима труда и отдыха водителей транспортных средств, предусмотренным Европейским </w:t>
            </w:r>
            <w:hyperlink r:id="rId82" w:history="1">
              <w:r>
                <w:rPr>
                  <w:color w:val="0000FF"/>
                </w:rPr>
                <w:t>соглашением</w:t>
              </w:r>
            </w:hyperlink>
            <w:r>
              <w:t xml:space="preserve">, касающимся работы экипажей транспортных средств, производящих международные автомобильные перевозки (ЕСТР) </w:t>
            </w:r>
            <w:hyperlink w:anchor="P961" w:history="1">
              <w:r>
                <w:rPr>
                  <w:color w:val="0000FF"/>
                </w:rPr>
                <w:t>&lt;4&gt;</w:t>
              </w:r>
            </w:hyperlink>
            <w:r>
              <w:t xml:space="preserve"> (далее - контрольное устройство (тахограф).</w:t>
            </w:r>
          </w:p>
          <w:p w:rsidR="00C4415F" w:rsidRDefault="00C4415F">
            <w:pPr>
              <w:pStyle w:val="ConsPlusNormal"/>
            </w:pPr>
            <w:r>
              <w:t>Тахограф должен иметь настройку, проведенную не позднее 3 лет до дня представления транспортного средства на очередной технический осмотр, выводить на печать информацию о регистрационных данных транспортного средства (идентификационный номер, государственный регистрационный номер (при их наличии), номере активизированного в составе этого тахографа программно-аппаратного шифровального (криптографического) средства, текущей дате и времени. Сведения о результатах поверки тахографа, подтверждающие его пригодность для применения, содержатся в Федеральном информационном фонде по обеспечению единства измерений.</w:t>
            </w:r>
          </w:p>
          <w:p w:rsidR="00C4415F" w:rsidRDefault="00C4415F">
            <w:pPr>
              <w:pStyle w:val="ConsPlusNormal"/>
            </w:pPr>
            <w:r>
              <w:t xml:space="preserve">Контрольное устройство (тахограф) должно быть проверено, в том числе откалибровано, в соответствии с требованиями Европейского </w:t>
            </w:r>
            <w:hyperlink r:id="rId83" w:history="1">
              <w:r>
                <w:rPr>
                  <w:color w:val="0000FF"/>
                </w:rPr>
                <w:t>соглашения</w:t>
              </w:r>
            </w:hyperlink>
            <w:r>
              <w:t>, касающегося работы экипажей транспортных средств, производящих международные автомобильные перевозки (ЕСТР), не позднее 2 лет до дня представления транспортного средства на очередной технический осмотр, а также иметь знак официального утверждения типа. На транспортном средстве, оснащенном контрольным устройством (тахографом) (либо на самом контрольном устройстве (тахографе),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о дате их измерения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-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6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30.01.2021 N 89)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6" w:name="P958"/>
      <w:bookmarkEnd w:id="6"/>
      <w:r>
        <w:t xml:space="preserve">&lt;1&gt; Категории транспортных средств соответствуют классификации, установленной в </w:t>
      </w:r>
      <w:hyperlink r:id="rId85" w:history="1">
        <w:r>
          <w:rPr>
            <w:color w:val="0000FF"/>
          </w:rPr>
          <w:t>подпункте 1.1</w:t>
        </w:r>
      </w:hyperlink>
      <w:r>
        <w:t xml:space="preserve"> приложения N 1 к ТР ТС 018/2011.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7" w:name="P959"/>
      <w:bookmarkEnd w:id="7"/>
      <w:r>
        <w:t xml:space="preserve">&lt;2&gt; Требование, предусмотренное настоящим пунктом, не препятствует установке световых приборов в целях устранения несоответствия другим требованиям к внешним световым приборам. На транспортных средствах, снятых с производства, допускается замена внешних световых приборов на такие приборы, используемые на транспортных средствах других типов, при условии соблюдения требований </w:t>
      </w:r>
      <w:hyperlink r:id="rId86" w:history="1">
        <w:r>
          <w:rPr>
            <w:color w:val="0000FF"/>
          </w:rPr>
          <w:t>ТР ТС 018/2011</w:t>
        </w:r>
      </w:hyperlink>
      <w:r>
        <w:t>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8" w:name="P960"/>
      <w:bookmarkEnd w:id="8"/>
      <w:r>
        <w:t xml:space="preserve">&lt;3&gt; Внесение изменений в конструкцию транспортного средства подтверждается разрешением на внесение изменений в конструкцию находящегося в эксплуатации колесного транспортного средства и протоколом проверки безопасности конструкции транспортного средства после внесенных в нее изменений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апреля 2019 г. N 413 "Об утверждении Правил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 или наличием соответствующей записи в свидетельстве о регистрации транспортного средства.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9" w:name="P961"/>
      <w:bookmarkEnd w:id="9"/>
      <w:r>
        <w:t xml:space="preserve">&lt;4&gt; В случае если транспортное средство подлежит оснащению тахографом в соответствии с требованием законодательства Российской Федерации или контрольным устройством (тахографом) в соответствии с требованиями законодательства Российской Федерации и требованиями Европейского </w:t>
      </w:r>
      <w:hyperlink r:id="rId88" w:history="1">
        <w:r>
          <w:rPr>
            <w:color w:val="0000FF"/>
          </w:rPr>
          <w:t>соглашения</w:t>
        </w:r>
      </w:hyperlink>
      <w:r>
        <w:t>, касающегося работы экипажей транспортных средств, производящих международные автомобильные перевозки (ЕСТР).</w:t>
      </w:r>
    </w:p>
    <w:p w:rsidR="00C4415F" w:rsidRDefault="00C4415F">
      <w:pPr>
        <w:pStyle w:val="ConsPlusNormal"/>
        <w:jc w:val="both"/>
      </w:pPr>
      <w:r>
        <w:t xml:space="preserve">(сноска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30.01.2021 N 89)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Примечание. Символ "X" означает, что требование применяется к транспортному средству соответствующей категории.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Символ "-" означает, что требование не применяется к транспортному средству соответствующей категории.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2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0" w:name="P975"/>
      <w:bookmarkEnd w:id="10"/>
      <w:r>
        <w:t>ПРОДОЛЖИТЕЛЬНОСТЬ</w:t>
      </w:r>
    </w:p>
    <w:p w:rsidR="00C4415F" w:rsidRDefault="00C4415F">
      <w:pPr>
        <w:pStyle w:val="ConsPlusTitle"/>
        <w:jc w:val="center"/>
      </w:pPr>
      <w:r>
        <w:t>ТЕХНИЧЕСКОГО ДИАГНОСТИРОВАНИЯ ТРАНСПОРТНЫХ СРЕДСТВ</w:t>
      </w:r>
    </w:p>
    <w:p w:rsidR="00C4415F" w:rsidRDefault="00C4415F">
      <w:pPr>
        <w:pStyle w:val="ConsPlusTitle"/>
        <w:jc w:val="center"/>
      </w:pPr>
      <w:r>
        <w:t>ОТДЕЛЬНЫХ КАТЕГОРИЙ</w:t>
      </w:r>
    </w:p>
    <w:p w:rsidR="00C4415F" w:rsidRDefault="00C4415F">
      <w:pPr>
        <w:pStyle w:val="ConsPlusNormal"/>
        <w:jc w:val="both"/>
      </w:pPr>
    </w:p>
    <w:p w:rsidR="00C4415F" w:rsidRDefault="00C4415F">
      <w:pPr>
        <w:sectPr w:rsid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819"/>
        <w:gridCol w:w="3175"/>
        <w:gridCol w:w="1474"/>
      </w:tblGrid>
      <w:tr w:rsidR="00C4415F">
        <w:tc>
          <w:tcPr>
            <w:tcW w:w="5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Тип транспортного средства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Категория транспортных средств (или категория транспортного средства, на базе которого изготовлено специальное транспортное средство) </w:t>
            </w:r>
            <w:hyperlink w:anchor="P111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 xml:space="preserve">Продолжительность технического диагностирования </w:t>
            </w:r>
            <w:hyperlink w:anchor="P111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 и имеющие, помимо места водителя, не более 8 мест для сидения - легковые автомобили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не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используемые для перевозки пассажиров, имеющие, помимо места водителя, более 8 мест для сидения, технически допустимая максимальная масса которых превышает 5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63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не более 0,75 тонны, и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Прицепы, технически допустимая максимальная масса которых свыше 3,5 тонны, но не более 10 тонн, и прицепы, технически допустимая максимальная масса которых более 10 тонн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Мототранспортные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M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фургоны, фургоны, имеющие места для перевозки людей, автоэвакуаторы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34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цистерны, цистерны для перевозки и заправки сжиженных углеводородных газов,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служб, автоэвакуаторы, транспортные средства с грузоподъемными устройствами, цистерны, цистерны для перевозки и заправки сжиженных углеводородных газов, фургоны, транспортные средства для перевозки пищевых 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46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оперативных служб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37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цистерны для перевозки и заправки нефтепродуктов, транспортные средства - фургоны, имеющие места для перевозки людей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средства, фургоны, имеющие места для перевозки людей,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Специализированные транспортные средства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51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69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для перевозки грузов с использованием прицепа-роспуска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75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Специальные транспортные средства для коммунального хозяйства и содержания дорог, транспортные средства - цистерны для перевозки и заправки нефтепродуктов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42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82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  <w:r>
              <w:rPr>
                <w:vertAlign w:val="subscript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88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1</w:t>
            </w:r>
            <w:r>
              <w:t>, O</w:t>
            </w:r>
            <w:r>
              <w:rPr>
                <w:vertAlign w:val="subscript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30</w:t>
            </w:r>
          </w:p>
        </w:tc>
      </w:tr>
      <w:tr w:rsidR="00C441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Транспортные средства для перевозки опасных грузов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O</w:t>
            </w:r>
            <w:r>
              <w:rPr>
                <w:vertAlign w:val="subscript"/>
              </w:rPr>
              <w:t>3</w:t>
            </w:r>
            <w:r>
              <w:t>, O</w:t>
            </w:r>
            <w:r>
              <w:rPr>
                <w:vertAlign w:val="subscript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  <w:jc w:val="center"/>
            </w:pPr>
            <w:r>
              <w:t>53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1" w:name="P1116"/>
      <w:bookmarkEnd w:id="11"/>
      <w:r>
        <w:t xml:space="preserve">&lt;1&gt; Категории транспортных средств соответствуют классификации, установленной в </w:t>
      </w:r>
      <w:hyperlink r:id="rId90" w:history="1">
        <w:r>
          <w:rPr>
            <w:color w:val="0000FF"/>
          </w:rPr>
          <w:t>приложении N 1</w:t>
        </w:r>
      </w:hyperlink>
      <w:r>
        <w:t xml:space="preserve"> к техническому регламенту Таможенного союза "О безопасности колесных транспортных средств" (ТР ТС 018/2011).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2" w:name="P1117"/>
      <w:bookmarkEnd w:id="12"/>
      <w:r>
        <w:t>&lt;2&gt; Продолжительность указана из расчета проведения технического диагностирования транспортного средства одним техническим экспертом и может быть уменьшена с учетом особенностей организации проведения отдельных технологических операций (характеристик диагностического оборудования и используемого программного обеспечения, количества постов диагностики, количества технических экспертов, проводящих техническое диагностирование нескольких транспортных средств одновременно).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1"/>
      </w:pPr>
      <w:r>
        <w:t>Приложение N 3</w:t>
      </w:r>
    </w:p>
    <w:p w:rsidR="00C4415F" w:rsidRDefault="00C4415F">
      <w:pPr>
        <w:pStyle w:val="ConsPlusNormal"/>
        <w:jc w:val="right"/>
      </w:pPr>
      <w:r>
        <w:t>к Правилам проведения технического</w:t>
      </w:r>
    </w:p>
    <w:p w:rsidR="00C4415F" w:rsidRDefault="00C4415F">
      <w:pPr>
        <w:pStyle w:val="ConsPlusNormal"/>
        <w:jc w:val="right"/>
      </w:pPr>
      <w:r>
        <w:t>осмотра транспортных средств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(форма)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bookmarkStart w:id="13" w:name="P1129"/>
      <w:bookmarkEnd w:id="13"/>
      <w:r>
        <w:t>ДИАГНОСТИЧЕСКАЯ КАРТА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center"/>
      </w:pPr>
      <w:r>
        <w:t>Certificate of periodic technical inspection</w:t>
      </w:r>
    </w:p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запоров бортов грузовой платформы и запоров горловин цистерн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задних и боковых защитных устройств, соответствие их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автоматического замка, ручной и автоматической блокировки седельно-сцепного устройства. Отсутствие видимых повреждений сцепных устройств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работоспособных предохранительных приспособлений у одноосных прицепов (за исключением роспусков) и прицепов, не оборудованных рабочей тормозной системой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Оборудование прицепов (за исключением одноосных и роспусков) исправным устройством, поддерживающим сцепную петлю дышла в положении, облегчающем сцепку и расцепку с тяговым автомобилем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Обеспечение тягово-сцепными устройствами легковых автомобилей беззазорной сцепки сухарей замкового устройства с шаром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надколесных грязезащитных устройств, отвечающих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вертикальной статической нагрузки на тяговое устройство автомобиля от сцепной петли одноосного прицепа (прицепа-роспуска) установленным нормам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подъема и опускания опор и фиксаторов транспортного положения опор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  <w:vMerge w:val="restart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стекла, противоугонного устройства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  <w:vMerge/>
          </w:tcPr>
          <w:p w:rsidR="00C4415F" w:rsidRDefault="00C4415F"/>
        </w:tc>
        <w:tc>
          <w:tcPr>
            <w:tcW w:w="2902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76" w:type="dxa"/>
            <w:vMerge/>
          </w:tcPr>
          <w:p w:rsidR="00C4415F" w:rsidRDefault="00C4415F"/>
        </w:tc>
        <w:tc>
          <w:tcPr>
            <w:tcW w:w="3164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1"/>
        <w:gridCol w:w="1134"/>
        <w:gridCol w:w="992"/>
        <w:gridCol w:w="4536"/>
        <w:gridCol w:w="3712"/>
      </w:tblGrid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134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992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0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3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9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763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3712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3712" w:type="dxa"/>
            <w:vMerge/>
          </w:tcPr>
          <w:p w:rsidR="00C4415F" w:rsidRDefault="00C4415F"/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23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5528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3712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475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990"/>
        <w:gridCol w:w="340"/>
        <w:gridCol w:w="2682"/>
        <w:gridCol w:w="340"/>
        <w:gridCol w:w="2700"/>
        <w:gridCol w:w="340"/>
      </w:tblGrid>
      <w:tr w:rsidR="00C4415F">
        <w:tc>
          <w:tcPr>
            <w:tcW w:w="11465" w:type="dxa"/>
            <w:gridSpan w:val="7"/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392" w:type="dxa"/>
            <w:gridSpan w:val="6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blPrEx>
          <w:tblBorders>
            <w:insideV w:val="nil"/>
          </w:tblBorders>
        </w:tblPrEx>
        <w:tc>
          <w:tcPr>
            <w:tcW w:w="50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транспортного средства обязательным требованиям безопасности транспортных средств (подтверждающее или не подтверждающее его допуск к участию в дорожном движении);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single" w:sz="4" w:space="0" w:color="auto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700" w:type="dxa"/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340" w:type="dxa"/>
            <w:tcBorders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063" w:type="dxa"/>
            <w:gridSpan w:val="2"/>
            <w:vMerge/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  <w:insideV w:val="nil"/>
          </w:tblBorders>
        </w:tblPrEx>
        <w:tc>
          <w:tcPr>
            <w:tcW w:w="5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68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7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4260"/>
      </w:tblGrid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426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  <w:tr w:rsidR="00C4415F">
        <w:tc>
          <w:tcPr>
            <w:tcW w:w="720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26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62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628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508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278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 xml:space="preserve">Печать </w:t>
            </w:r>
            <w:hyperlink w:anchor="P1576" w:history="1">
              <w:r>
                <w:rPr>
                  <w:color w:val="0000FF"/>
                </w:rPr>
                <w:t>&lt;*&gt;</w:t>
              </w:r>
            </w:hyperlink>
          </w:p>
          <w:p w:rsidR="00C4415F" w:rsidRDefault="00C4415F">
            <w:pPr>
              <w:pStyle w:val="ConsPlusNormal"/>
              <w:jc w:val="both"/>
            </w:pPr>
            <w:r>
              <w:t>Stamp</w:t>
            </w:r>
          </w:p>
        </w:tc>
      </w:tr>
    </w:tbl>
    <w:p w:rsidR="00C4415F" w:rsidRDefault="00C4415F">
      <w:pPr>
        <w:sectPr w:rsidR="00C4415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bookmarkStart w:id="14" w:name="P1576"/>
      <w:bookmarkEnd w:id="14"/>
      <w:r>
        <w:t>&lt;*&gt; Печать оператора технического осмотра проставляется в случае выдачи диагностической карты на бумажном носителе.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  <w:outlineLvl w:val="0"/>
      </w:pPr>
      <w:r>
        <w:t>Утверждены</w:t>
      </w:r>
    </w:p>
    <w:p w:rsidR="00C4415F" w:rsidRDefault="00C4415F">
      <w:pPr>
        <w:pStyle w:val="ConsPlusNormal"/>
        <w:jc w:val="right"/>
      </w:pPr>
      <w:r>
        <w:t>постановлением Правительства</w:t>
      </w:r>
    </w:p>
    <w:p w:rsidR="00C4415F" w:rsidRDefault="00C4415F">
      <w:pPr>
        <w:pStyle w:val="ConsPlusNormal"/>
        <w:jc w:val="right"/>
      </w:pPr>
      <w:r>
        <w:t>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Title"/>
        <w:jc w:val="center"/>
      </w:pPr>
      <w:bookmarkStart w:id="15" w:name="P1587"/>
      <w:bookmarkEnd w:id="15"/>
      <w:r>
        <w:t>ИЗМЕНЕНИЯ,</w:t>
      </w:r>
    </w:p>
    <w:p w:rsidR="00C4415F" w:rsidRDefault="00C4415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15F" w:rsidRDefault="00C441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26.10.2020 N 1742)</w:t>
            </w: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1. Утратил силу. - </w:t>
      </w:r>
      <w:hyperlink r:id="rId92" w:history="1">
        <w:r>
          <w:rPr>
            <w:color w:val="0000FF"/>
          </w:rPr>
          <w:t>Постановление</w:t>
        </w:r>
      </w:hyperlink>
      <w:r>
        <w:t xml:space="preserve"> Правительства РФ от 26.10.2020 N 1742.</w:t>
      </w:r>
    </w:p>
    <w:p w:rsidR="00C4415F" w:rsidRDefault="00C4415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15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15F" w:rsidRDefault="00C4415F">
            <w:pPr>
              <w:pStyle w:val="ConsPlusNormal"/>
              <w:jc w:val="both"/>
            </w:pPr>
            <w:r>
              <w:rPr>
                <w:color w:val="392C69"/>
              </w:rPr>
              <w:t xml:space="preserve">П. 2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01.03.2021.</w:t>
            </w:r>
          </w:p>
        </w:tc>
      </w:tr>
    </w:tbl>
    <w:p w:rsidR="00C4415F" w:rsidRDefault="00C4415F">
      <w:pPr>
        <w:pStyle w:val="ConsPlusNormal"/>
        <w:spacing w:before="280"/>
        <w:ind w:firstLine="540"/>
        <w:jc w:val="both"/>
      </w:pPr>
      <w:bookmarkStart w:id="16" w:name="P1595"/>
      <w:bookmarkEnd w:id="16"/>
      <w:r>
        <w:t xml:space="preserve">2. В </w:t>
      </w:r>
      <w:hyperlink r:id="rId93" w:history="1">
        <w:r>
          <w:rPr>
            <w:color w:val="0000FF"/>
          </w:rPr>
          <w:t>пункте 1</w:t>
        </w:r>
      </w:hyperlink>
      <w:r>
        <w:t xml:space="preserve"> постановления Правительства Российской Федерации от 17 апреля 2013 г. N 348 "О техническом осмотре транспортных средств органов, осуществляющих оперативно-разыскную деятельность" (Собрание законодательства Российской Федерации, 2013, N 16, ст. 1975)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3. В </w:t>
      </w:r>
      <w:hyperlink r:id="rId94" w:history="1">
        <w:r>
          <w:rPr>
            <w:color w:val="0000FF"/>
          </w:rPr>
          <w:t>Правилах</w:t>
        </w:r>
      </w:hyperlink>
      <w:r>
        <w:t xml:space="preserve"> организации и проведения технического осмотра автобусов, утвержденных постановлением Правительства Российской Федерации от 23 мая 2020 г. N 741 "Об утверждении Правил организации и проведения технического осмотра автобусов" (Собрание законодательства Российской Федерации, 2020, N 22, ст. 3508):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а) в </w:t>
      </w:r>
      <w:hyperlink r:id="rId95" w:history="1">
        <w:r>
          <w:rPr>
            <w:color w:val="0000FF"/>
          </w:rPr>
          <w:t>пункте 4</w:t>
        </w:r>
      </w:hyperlink>
      <w:r>
        <w:t xml:space="preserve"> слова "Правилами проведения технического осмотра транспортных средств, утвержденными постановлением Правительства Российской Федерации от 5 декабря 2011 г. N 1008 "О проведении технического осмотра транспортных средств"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Федерации";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 xml:space="preserve">б) </w:t>
      </w:r>
      <w:hyperlink r:id="rId96" w:history="1">
        <w:r>
          <w:rPr>
            <w:color w:val="0000FF"/>
          </w:rPr>
          <w:t>приложение</w:t>
        </w:r>
      </w:hyperlink>
      <w:r>
        <w:t xml:space="preserve"> изложить в следующей редакции: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right"/>
      </w:pPr>
      <w:r>
        <w:t>"Приложение</w:t>
      </w:r>
    </w:p>
    <w:p w:rsidR="00C4415F" w:rsidRDefault="00C4415F">
      <w:pPr>
        <w:pStyle w:val="ConsPlusNormal"/>
        <w:jc w:val="right"/>
      </w:pPr>
      <w:r>
        <w:t>к Правилам организации и проведения</w:t>
      </w:r>
    </w:p>
    <w:p w:rsidR="00C4415F" w:rsidRDefault="00C4415F">
      <w:pPr>
        <w:pStyle w:val="ConsPlusNormal"/>
        <w:jc w:val="right"/>
      </w:pPr>
      <w:r>
        <w:t>технического осмотра автобусов</w:t>
      </w:r>
    </w:p>
    <w:p w:rsidR="00C4415F" w:rsidRDefault="00C4415F">
      <w:pPr>
        <w:pStyle w:val="ConsPlusNormal"/>
        <w:jc w:val="right"/>
      </w:pPr>
      <w:r>
        <w:t>(в редакции постановления</w:t>
      </w:r>
    </w:p>
    <w:p w:rsidR="00C4415F" w:rsidRDefault="00C4415F">
      <w:pPr>
        <w:pStyle w:val="ConsPlusNormal"/>
        <w:jc w:val="right"/>
      </w:pPr>
      <w:r>
        <w:t>Правительства Российской Федерации</w:t>
      </w:r>
    </w:p>
    <w:p w:rsidR="00C4415F" w:rsidRDefault="00C4415F">
      <w:pPr>
        <w:pStyle w:val="ConsPlusNormal"/>
        <w:jc w:val="right"/>
      </w:pPr>
      <w:r>
        <w:t>от 15 сентября 2020 г. N 1434)</w:t>
      </w:r>
    </w:p>
    <w:p w:rsidR="00C4415F" w:rsidRDefault="00C4415F">
      <w:pPr>
        <w:pStyle w:val="ConsPlusNormal"/>
        <w:jc w:val="both"/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>
        <w:t>Диагностическая</w:t>
      </w:r>
      <w:r w:rsidRPr="00C4415F">
        <w:rPr>
          <w:lang w:val="en-US"/>
        </w:rPr>
        <w:t xml:space="preserve"> </w:t>
      </w:r>
      <w:r>
        <w:t>карта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pStyle w:val="ConsPlusNormal"/>
        <w:jc w:val="center"/>
        <w:rPr>
          <w:lang w:val="en-US"/>
        </w:rPr>
      </w:pPr>
      <w:r w:rsidRPr="00C4415F">
        <w:rPr>
          <w:lang w:val="en-US"/>
        </w:rPr>
        <w:t>Certificate of periodic technical inspection</w:t>
      </w:r>
    </w:p>
    <w:p w:rsidR="00C4415F" w:rsidRPr="00C4415F" w:rsidRDefault="00C4415F">
      <w:pPr>
        <w:pStyle w:val="ConsPlusNormal"/>
        <w:jc w:val="both"/>
        <w:rPr>
          <w:lang w:val="en-US"/>
        </w:rPr>
      </w:pPr>
    </w:p>
    <w:p w:rsidR="00C4415F" w:rsidRPr="00C4415F" w:rsidRDefault="00C4415F">
      <w:pPr>
        <w:rPr>
          <w:lang w:val="en-US"/>
        </w:rPr>
        <w:sectPr w:rsidR="00C4415F" w:rsidRPr="00C4415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90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053"/>
      </w:tblGrid>
      <w:tr w:rsidR="00C4415F">
        <w:tc>
          <w:tcPr>
            <w:tcW w:w="6347" w:type="dxa"/>
            <w:gridSpan w:val="17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Регистрационный номер</w:t>
            </w:r>
          </w:p>
        </w:tc>
        <w:tc>
          <w:tcPr>
            <w:tcW w:w="5113" w:type="dxa"/>
            <w:gridSpan w:val="10"/>
            <w:tcBorders>
              <w:bottom w:val="nil"/>
            </w:tcBorders>
          </w:tcPr>
          <w:p w:rsidR="00C4415F" w:rsidRDefault="00C4415F">
            <w:pPr>
              <w:pStyle w:val="ConsPlusNormal"/>
            </w:pPr>
            <w:r>
              <w:t>Срок действия до</w:t>
            </w:r>
          </w:p>
        </w:tc>
      </w:tr>
      <w:tr w:rsidR="00C4415F">
        <w:tblPrEx>
          <w:tblBorders>
            <w:insideH w:val="single" w:sz="4" w:space="0" w:color="auto"/>
          </w:tblBorders>
        </w:tblPrEx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053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347" w:type="dxa"/>
            <w:gridSpan w:val="17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5113" w:type="dxa"/>
            <w:gridSpan w:val="10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1"/>
        <w:gridCol w:w="899"/>
        <w:gridCol w:w="340"/>
        <w:gridCol w:w="3830"/>
        <w:gridCol w:w="3252"/>
        <w:gridCol w:w="340"/>
        <w:gridCol w:w="1103"/>
      </w:tblGrid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Оператор технического осмотра: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Пункт технического осмотра (передвижная диагностическая линия):</w:t>
            </w:r>
          </w:p>
        </w:tc>
      </w:tr>
      <w:tr w:rsidR="00C4415F">
        <w:tc>
          <w:tcPr>
            <w:tcW w:w="2580" w:type="dxa"/>
            <w:gridSpan w:val="2"/>
          </w:tcPr>
          <w:p w:rsidR="00C4415F" w:rsidRDefault="00C4415F">
            <w:pPr>
              <w:pStyle w:val="ConsPlusNormal"/>
            </w:pPr>
            <w:r>
              <w:t>Первичная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3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252" w:type="dxa"/>
          </w:tcPr>
          <w:p w:rsidR="00C4415F" w:rsidRDefault="00C4415F">
            <w:pPr>
              <w:pStyle w:val="ConsPlusNormal"/>
            </w:pPr>
            <w:r>
              <w:t>Повторная проверка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103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6750" w:type="dxa"/>
            <w:gridSpan w:val="4"/>
          </w:tcPr>
          <w:p w:rsidR="00C4415F" w:rsidRDefault="00C4415F">
            <w:pPr>
              <w:pStyle w:val="ConsPlusNormal"/>
            </w:pPr>
            <w:r>
              <w:t>Регистрационный знак ТС:</w:t>
            </w:r>
          </w:p>
        </w:tc>
        <w:tc>
          <w:tcPr>
            <w:tcW w:w="4695" w:type="dxa"/>
            <w:gridSpan w:val="3"/>
            <w:vMerge w:val="restart"/>
          </w:tcPr>
          <w:p w:rsidR="00C4415F" w:rsidRDefault="00C4415F">
            <w:pPr>
              <w:pStyle w:val="ConsPlusNormal"/>
            </w:pPr>
            <w:r>
              <w:t>Марка, модель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VIN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  <w:vMerge/>
          </w:tcPr>
          <w:p w:rsidR="00C4415F" w:rsidRDefault="00C4415F"/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рамы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Категория ТС:</w:t>
            </w:r>
          </w:p>
        </w:tc>
      </w:tr>
      <w:tr w:rsidR="00C4415F">
        <w:tc>
          <w:tcPr>
            <w:tcW w:w="1681" w:type="dxa"/>
          </w:tcPr>
          <w:p w:rsidR="00C4415F" w:rsidRDefault="00C4415F">
            <w:pPr>
              <w:pStyle w:val="ConsPlusNormal"/>
            </w:pPr>
            <w:r>
              <w:t>Номер кузова</w:t>
            </w:r>
          </w:p>
        </w:tc>
        <w:tc>
          <w:tcPr>
            <w:tcW w:w="5069" w:type="dxa"/>
            <w:gridSpan w:val="3"/>
          </w:tcPr>
          <w:p w:rsidR="00C4415F" w:rsidRDefault="00C4415F">
            <w:pPr>
              <w:pStyle w:val="ConsPlusNormal"/>
            </w:pPr>
          </w:p>
        </w:tc>
        <w:tc>
          <w:tcPr>
            <w:tcW w:w="4695" w:type="dxa"/>
            <w:gridSpan w:val="3"/>
          </w:tcPr>
          <w:p w:rsidR="00C4415F" w:rsidRDefault="00C4415F">
            <w:pPr>
              <w:pStyle w:val="ConsPlusNormal"/>
            </w:pPr>
            <w:r>
              <w:t>Год выпуска ТС: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СРТС или ПТС (ЭПТС) (серия, номер, выдан (оформлен) кем, когда):</w:t>
            </w:r>
          </w:p>
        </w:tc>
      </w:tr>
      <w:tr w:rsidR="00C4415F">
        <w:tc>
          <w:tcPr>
            <w:tcW w:w="11445" w:type="dxa"/>
            <w:gridSpan w:val="7"/>
          </w:tcPr>
          <w:p w:rsidR="00C4415F" w:rsidRDefault="00C4415F">
            <w:pPr>
              <w:pStyle w:val="ConsPlusNormal"/>
            </w:pPr>
            <w:r>
              <w:t>Тахограф или контрольное устройство (тахограф) (марка, модель, серийный номер):</w:t>
            </w: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"/>
        <w:gridCol w:w="2902"/>
        <w:gridCol w:w="340"/>
        <w:gridCol w:w="476"/>
        <w:gridCol w:w="3164"/>
        <w:gridCol w:w="340"/>
        <w:gridCol w:w="461"/>
        <w:gridCol w:w="3015"/>
        <w:gridCol w:w="340"/>
      </w:tblGrid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N &lt;* &gt;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N &lt;*&gt;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  <w:jc w:val="center"/>
            </w:pPr>
            <w:r>
              <w:t>Обязательные требования безопасности, предъявляемые к транспортным средствам при проведении технического осмотра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I. Тормозные системы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расположение фар и сигнальных фонарей в местах,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015" w:type="dxa"/>
            <w:vMerge w:val="restart"/>
          </w:tcPr>
          <w:p w:rsidR="00C4415F" w:rsidRDefault="00C4415F">
            <w:pPr>
              <w:pStyle w:val="ConsPlusNormal"/>
            </w:pPr>
            <w:r>
              <w:t>Работоспособность аварийного выключателя дверей и сигнала требования остановки</w:t>
            </w:r>
          </w:p>
        </w:tc>
        <w:tc>
          <w:tcPr>
            <w:tcW w:w="34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  <w:vMerge/>
          </w:tcPr>
          <w:p w:rsidR="00C4415F" w:rsidRDefault="00C4415F"/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источника света в фарах, формы, цвета и размера фар. Наличие светоотражающей контурной маркировки, отсутствие ее повреждения и отслоения.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  <w:vMerge/>
          </w:tcPr>
          <w:p w:rsidR="00C4415F" w:rsidRDefault="00C4415F"/>
        </w:tc>
        <w:tc>
          <w:tcPr>
            <w:tcW w:w="3015" w:type="dxa"/>
            <w:vMerge/>
          </w:tcPr>
          <w:p w:rsidR="00C4415F" w:rsidRDefault="00C4415F"/>
        </w:tc>
        <w:tc>
          <w:tcPr>
            <w:tcW w:w="340" w:type="dxa"/>
            <w:vMerge/>
          </w:tcPr>
          <w:p w:rsidR="00C4415F" w:rsidRDefault="00C4415F"/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показателей эффективности торможения и устойчивости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IV. Стеклоочистители и стеклоомыватели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аварийных выходов, приборов внутреннего освещения салона, привода управления дверями и сигнализации их работы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разности тормозных сил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и работоспособность предусмотренных изготовителем транспортного средства стеклоочистителей и стеклоомывателей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звукового сигнального прибора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рабочей тормозной системы автопоездов с пневматическим тормозным приводом в режиме аварийного (автоматического)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Обеспечение стеклоомывателем подачи жидкости в зоны очистки стекла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обозначений аварийных выходов и табличек по правилам их использования. Обеспечение свободного доступа к аварийным выходам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утечек сжатого воздуха из колесных тормозных камер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продольного люфта в беззазорных тягово-сцепных устройствах с тяговой вилкой для сцепленного с прицепом тягача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подтеканий тормозной жидкости, нарушения герметичности трубопроводов или соединений в гидравлическом тормозном приводе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V. Шины и колеса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размерных характеристик сцепных устройств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коррозии, грозящей потерей герметичности или разрушением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остаточной глубины рисунка протектора шин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Оснащение транспортных средств исправными ремнями безопасности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механических повреждений тормозных трубопроводов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  <w:jc w:val="both"/>
            </w:pPr>
            <w:r>
              <w:t>Отсутствие признаков непригодности шин к эксплуатации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знака аварийной остановки и медицинской аптечки (медицинских аптечек)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трещин остаточной деформации деталей тормозного привода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всех болтов или гаек крепления дисков и ободьев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не менее 2 противооткатных упоров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Исправность средств сигнализации и контроля тормозных систем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дисках и ободьях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огнетушителей, соответствующих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набухания тормозных шлангов под давлением, трещин и видимых мест перетирания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видимых нарушений формы и размеров крепежных отверстий в дисках колес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Надежное крепление поручней в автобусах, запасного колеса, аккумуляторной батареи, сидений, огнетушителей и медицинской аптечки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Расположение и длина соединительных шлангов пневматического тормозного привода автопоездов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Установка шин на транспортное средство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механизмов регулировки сидений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II. Рулевое управление</w:t>
            </w: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VI. Двигатель и его системы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усилителя рулевого управления. Плавность изменения усилия при повороте рулевого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содержания загрязняющих веществ в отработавших газах транспортных средств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держателя запасного колеса, лебедки и механизма подъема-опускания запасного колеса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самопроизвольного поворота рулевого колеса с усилителем рулевого управления от нейтрального положения при работающем двигателе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подтекания и каплепадения топлива в системе питания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каплепадения масел и рабочих жидкостей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превышения предельных значений суммарного люфта в рулевом управлении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запорных устройств и устройств перекрытия топлива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Установка государственных регистрационных знаков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повреждения и полная комплектность деталей крепления рулевой колонки и картера рулевого механизма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системы питания газобаллонных транспортных средств, ее размещения и установки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Работоспособность устройства или системы вызова экстренных оперативных служб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следов остаточной деформации, трещин и других дефектов в рулевом механизме и рулевом приводе. Наличие и работоспособность предусмотренного изготовителем транспортного средства рулевого демпфера и (или) усилителя рулевого управления. Отсутствие подтекания рабочей жидкости в гидросистеме усилителя рулевого управления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нормам уровня шума выпускной системы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Отсутствие изменений в конструкции транспортного средства, внесенных в нарушение установленных требований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Отсутствие устройств, ограничивающих поворот рулевого колеса, не предусмотренных конструкцией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980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VII. Прочие элементы конструкции</w:t>
            </w: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Соответствие транспортного средства установленным дополнительным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3683" w:type="dxa"/>
            <w:gridSpan w:val="3"/>
          </w:tcPr>
          <w:p w:rsidR="00C4415F" w:rsidRDefault="00C4415F">
            <w:pPr>
              <w:pStyle w:val="ConsPlusNormal"/>
              <w:jc w:val="center"/>
            </w:pPr>
            <w:r>
              <w:t>III. Внешние световые приборы</w:t>
            </w: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Наличие зеркал заднего вида в соответствии с установленными требованиями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61" w:type="dxa"/>
          </w:tcPr>
          <w:p w:rsidR="00C4415F" w:rsidRDefault="00C4415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015" w:type="dxa"/>
          </w:tcPr>
          <w:p w:rsidR="00C4415F" w:rsidRDefault="00C4415F">
            <w:pPr>
              <w:pStyle w:val="ConsPlusNormal"/>
            </w:pPr>
            <w:r>
              <w:t>Наличие работоспособного тахографа или работоспособного контрольного устройства (тахографа)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устройств освещения и световой сигнализации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дополнительных предметов или покрытий, ограничивающих обзорность с места водителя. Соответствие полосы пленки в верхней части ветрового стекла установленным требованиям</w:t>
            </w:r>
          </w:p>
        </w:tc>
        <w:tc>
          <w:tcPr>
            <w:tcW w:w="340" w:type="dxa"/>
            <w:tcBorders>
              <w:bottom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 w:val="restart"/>
            <w:tcBorders>
              <w:bottom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Наличие рассеивателей внешних световых приборов, отсутствие их разрушения и загрязнения. Отсутствие не предусмотренных конструкцией светового прибора оптических элементов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Соответствие норме светопропускания ветрового стекла, передних боковых стекол и стекол передних дверей</w:t>
            </w:r>
          </w:p>
        </w:tc>
        <w:tc>
          <w:tcPr>
            <w:tcW w:w="340" w:type="dxa"/>
            <w:tcBorders>
              <w:top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Работоспособность и режим работы сигналов торможения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Отсутствие трещин на ветровом стекле в зоне очистки водительского стеклоочистителя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  <w:tr w:rsidR="00C4415F">
        <w:tblPrEx>
          <w:tblBorders>
            <w:right w:val="nil"/>
          </w:tblBorders>
        </w:tblPrEx>
        <w:tc>
          <w:tcPr>
            <w:tcW w:w="441" w:type="dxa"/>
          </w:tcPr>
          <w:p w:rsidR="00C4415F" w:rsidRDefault="00C4415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02" w:type="dxa"/>
          </w:tcPr>
          <w:p w:rsidR="00C4415F" w:rsidRDefault="00C4415F">
            <w:pPr>
              <w:pStyle w:val="ConsPlusNormal"/>
            </w:pPr>
            <w:r>
              <w:t>Соответствие углов регулировки и силы света фар установленным требованиям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76" w:type="dxa"/>
          </w:tcPr>
          <w:p w:rsidR="00C4415F" w:rsidRDefault="00C4415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164" w:type="dxa"/>
          </w:tcPr>
          <w:p w:rsidR="00C4415F" w:rsidRDefault="00C4415F">
            <w:pPr>
              <w:pStyle w:val="ConsPlusNormal"/>
            </w:pPr>
            <w:r>
              <w:t>Работоспособность замков дверей кузова, кабины, механизмов регулировки и фиксирующих устройств сидений, устройства обогрева и обдува ветрового стекла противоугонного устройства</w:t>
            </w: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816" w:type="dxa"/>
            <w:gridSpan w:val="3"/>
            <w:vMerge/>
            <w:tcBorders>
              <w:bottom w:val="nil"/>
              <w:right w:val="nil"/>
            </w:tcBorders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95"/>
        <w:gridCol w:w="1380"/>
        <w:gridCol w:w="1545"/>
        <w:gridCol w:w="4536"/>
        <w:gridCol w:w="2424"/>
      </w:tblGrid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  <w:jc w:val="center"/>
            </w:pPr>
            <w:r>
              <w:t>Результаты диагностирования</w:t>
            </w:r>
          </w:p>
        </w:tc>
      </w:tr>
      <w:tr w:rsidR="00C4415F">
        <w:tc>
          <w:tcPr>
            <w:tcW w:w="8856" w:type="dxa"/>
            <w:gridSpan w:val="4"/>
          </w:tcPr>
          <w:p w:rsidR="00C4415F" w:rsidRDefault="00C4415F">
            <w:pPr>
              <w:pStyle w:val="ConsPlusNormal"/>
              <w:jc w:val="center"/>
            </w:pPr>
            <w:r>
              <w:t>Требования, по которым установлено несоответствие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  <w:jc w:val="center"/>
            </w:pPr>
            <w:r>
              <w:t>Пункт диагностической карты</w:t>
            </w: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  <w:jc w:val="center"/>
            </w:pPr>
            <w:r>
              <w:t>Нижняя граница</w:t>
            </w:r>
          </w:p>
        </w:tc>
        <w:tc>
          <w:tcPr>
            <w:tcW w:w="1380" w:type="dxa"/>
          </w:tcPr>
          <w:p w:rsidR="00C4415F" w:rsidRDefault="00C4415F">
            <w:pPr>
              <w:pStyle w:val="ConsPlusNormal"/>
              <w:jc w:val="center"/>
            </w:pPr>
            <w:r>
              <w:t>Результат проверки</w:t>
            </w:r>
          </w:p>
        </w:tc>
        <w:tc>
          <w:tcPr>
            <w:tcW w:w="1545" w:type="dxa"/>
          </w:tcPr>
          <w:p w:rsidR="00C4415F" w:rsidRDefault="00C4415F">
            <w:pPr>
              <w:pStyle w:val="ConsPlusNormal"/>
              <w:jc w:val="center"/>
            </w:pPr>
            <w:r>
              <w:t>Верхняя граница</w:t>
            </w:r>
          </w:p>
        </w:tc>
        <w:tc>
          <w:tcPr>
            <w:tcW w:w="4536" w:type="dxa"/>
          </w:tcPr>
          <w:p w:rsidR="00C4415F" w:rsidRDefault="00C4415F">
            <w:pPr>
              <w:pStyle w:val="ConsPlusNormal"/>
              <w:jc w:val="center"/>
            </w:pPr>
            <w:r>
              <w:t>Наименование требования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39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38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154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4536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856" w:type="dxa"/>
            <w:gridSpan w:val="4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Невыполненные требования</w:t>
            </w:r>
          </w:p>
        </w:tc>
        <w:tc>
          <w:tcPr>
            <w:tcW w:w="2424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Предмет проверки (узел, деталь, агрегат)</w:t>
            </w:r>
          </w:p>
        </w:tc>
        <w:tc>
          <w:tcPr>
            <w:tcW w:w="6081" w:type="dxa"/>
            <w:gridSpan w:val="2"/>
            <w:vAlign w:val="bottom"/>
          </w:tcPr>
          <w:p w:rsidR="00C4415F" w:rsidRDefault="00C4415F">
            <w:pPr>
              <w:pStyle w:val="ConsPlusNormal"/>
              <w:jc w:val="center"/>
            </w:pPr>
            <w:r>
              <w:t>Содержание невыполненного требования (с указанием нормативного источника)</w:t>
            </w:r>
          </w:p>
        </w:tc>
        <w:tc>
          <w:tcPr>
            <w:tcW w:w="2424" w:type="dxa"/>
            <w:vMerge/>
          </w:tcPr>
          <w:p w:rsidR="00C4415F" w:rsidRDefault="00C4415F"/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2775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6081" w:type="dxa"/>
            <w:gridSpan w:val="2"/>
          </w:tcPr>
          <w:p w:rsidR="00C4415F" w:rsidRDefault="00C4415F">
            <w:pPr>
              <w:pStyle w:val="ConsPlusNormal"/>
            </w:pPr>
          </w:p>
        </w:tc>
        <w:tc>
          <w:tcPr>
            <w:tcW w:w="2424" w:type="dxa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80" w:type="dxa"/>
            <w:gridSpan w:val="5"/>
            <w:vAlign w:val="bottom"/>
          </w:tcPr>
          <w:p w:rsidR="00C4415F" w:rsidRDefault="00C4415F">
            <w:pPr>
              <w:pStyle w:val="ConsPlusNormal"/>
            </w:pPr>
            <w:r>
              <w:t>Примечания:</w:t>
            </w:r>
          </w:p>
        </w:tc>
      </w:tr>
      <w:tr w:rsidR="00C4415F">
        <w:tc>
          <w:tcPr>
            <w:tcW w:w="11280" w:type="dxa"/>
            <w:gridSpan w:val="5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3"/>
        <w:gridCol w:w="1462"/>
        <w:gridCol w:w="340"/>
        <w:gridCol w:w="2450"/>
        <w:gridCol w:w="2265"/>
        <w:gridCol w:w="680"/>
      </w:tblGrid>
      <w:tr w:rsidR="00C4415F">
        <w:tc>
          <w:tcPr>
            <w:tcW w:w="1127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4415F" w:rsidRDefault="00C4415F">
            <w:pPr>
              <w:pStyle w:val="ConsPlusNormal"/>
              <w:jc w:val="center"/>
            </w:pPr>
            <w:r>
              <w:t>Данные транспортного средства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Масса без нагрузки: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Разрешенная максимальная масса: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топлива: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Пробег ТС: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Тип тормозной системы: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Марка шин:</w:t>
            </w:r>
          </w:p>
        </w:tc>
      </w:tr>
      <w:tr w:rsidR="00C4415F">
        <w:tblPrEx>
          <w:tblBorders>
            <w:insideV w:val="single" w:sz="4" w:space="0" w:color="auto"/>
          </w:tblBorders>
        </w:tblPrEx>
        <w:tc>
          <w:tcPr>
            <w:tcW w:w="4073" w:type="dxa"/>
          </w:tcPr>
          <w:p w:rsidR="00C4415F" w:rsidRDefault="00C4415F">
            <w:pPr>
              <w:pStyle w:val="ConsPlusNormal"/>
            </w:pPr>
            <w:r>
              <w:t>Сведения о газовом баллоне (газовых баллонах)</w:t>
            </w:r>
          </w:p>
          <w:p w:rsidR="00C4415F" w:rsidRDefault="00C4415F">
            <w:pPr>
              <w:pStyle w:val="ConsPlusNormal"/>
            </w:pPr>
            <w:r>
              <w:t>(год выпуска, серийный номер, даты последнего и очередного освидетельствования каждого газового баллона):</w:t>
            </w:r>
          </w:p>
        </w:tc>
        <w:tc>
          <w:tcPr>
            <w:tcW w:w="7197" w:type="dxa"/>
            <w:gridSpan w:val="5"/>
          </w:tcPr>
          <w:p w:rsidR="00C4415F" w:rsidRDefault="00C4415F">
            <w:pPr>
              <w:pStyle w:val="ConsPlusNormal"/>
            </w:pPr>
            <w:r>
              <w:t>Сведения по газобаллонному оборудованию</w:t>
            </w:r>
          </w:p>
          <w:p w:rsidR="00C4415F" w:rsidRDefault="00C4415F">
            <w:pPr>
              <w:pStyle w:val="ConsPlusNormal"/>
            </w:pPr>
            <w:r>
              <w:t>(номер свидетельства о проведении периодических испытаний газобаллонного оборудования и дата его очередного освидетельствования):</w:t>
            </w:r>
          </w:p>
        </w:tc>
      </w:tr>
      <w:tr w:rsidR="00C4415F" w:rsidRPr="00C4415F">
        <w:tc>
          <w:tcPr>
            <w:tcW w:w="5535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4415F" w:rsidRDefault="00C4415F">
            <w:pPr>
              <w:pStyle w:val="ConsPlusNormal"/>
            </w:pPr>
            <w:r>
              <w:t>Заключение о соответствии или несоответствии автобуса обязательным требованиям безопасности транспортных средств (подтверждающее или не подтверждающее его допуск к участию в дорожном движении)</w:t>
            </w:r>
          </w:p>
          <w:p w:rsidR="00C4415F" w:rsidRPr="00C4415F" w:rsidRDefault="00C4415F">
            <w:pPr>
              <w:pStyle w:val="ConsPlusNormal"/>
              <w:rPr>
                <w:lang w:val="en-US"/>
              </w:rPr>
            </w:pPr>
            <w:r w:rsidRPr="00C4415F">
              <w:rPr>
                <w:lang w:val="en-US"/>
              </w:rPr>
              <w:t>Results of the roadworthiness inspection</w:t>
            </w: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680" w:type="dxa"/>
            <w:tcBorders>
              <w:left w:val="nil"/>
              <w:bottom w:val="nil"/>
              <w:right w:val="single" w:sz="4" w:space="0" w:color="auto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</w:tr>
      <w:tr w:rsidR="00C4415F">
        <w:tblPrEx>
          <w:tblBorders>
            <w:insideH w:val="nil"/>
            <w:insideV w:val="single" w:sz="4" w:space="0" w:color="auto"/>
          </w:tblBorders>
        </w:tblPrEx>
        <w:tc>
          <w:tcPr>
            <w:tcW w:w="5535" w:type="dxa"/>
            <w:gridSpan w:val="2"/>
            <w:vMerge/>
            <w:tcBorders>
              <w:right w:val="nil"/>
            </w:tcBorders>
          </w:tcPr>
          <w:p w:rsidR="00C4415F" w:rsidRPr="00C4415F" w:rsidRDefault="00C4415F">
            <w:pPr>
              <w:rPr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C4415F" w:rsidRPr="00C4415F" w:rsidRDefault="00C4415F">
            <w:pPr>
              <w:pStyle w:val="ConsPlusNormal"/>
              <w:rPr>
                <w:lang w:val="en-US"/>
              </w:rPr>
            </w:pPr>
          </w:p>
        </w:tc>
        <w:tc>
          <w:tcPr>
            <w:tcW w:w="2450" w:type="dxa"/>
          </w:tcPr>
          <w:p w:rsidR="00C4415F" w:rsidRDefault="00C4415F">
            <w:pPr>
              <w:pStyle w:val="ConsPlusNormal"/>
              <w:jc w:val="center"/>
            </w:pPr>
            <w:r>
              <w:t>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Passed</w:t>
            </w:r>
          </w:p>
        </w:tc>
        <w:tc>
          <w:tcPr>
            <w:tcW w:w="2265" w:type="dxa"/>
          </w:tcPr>
          <w:p w:rsidR="00C4415F" w:rsidRDefault="00C4415F">
            <w:pPr>
              <w:pStyle w:val="ConsPlusNormal"/>
              <w:jc w:val="center"/>
            </w:pPr>
            <w:r>
              <w:t>Не соответствует</w:t>
            </w:r>
          </w:p>
          <w:p w:rsidR="00C4415F" w:rsidRDefault="00C4415F">
            <w:pPr>
              <w:pStyle w:val="ConsPlusNormal"/>
              <w:jc w:val="center"/>
            </w:pPr>
            <w:r>
              <w:t>Failed</w:t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H w:val="nil"/>
          </w:tblBorders>
        </w:tblPrEx>
        <w:tc>
          <w:tcPr>
            <w:tcW w:w="553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C4415F" w:rsidRDefault="00C4415F"/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450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2265" w:type="dxa"/>
            <w:tcBorders>
              <w:left w:val="nil"/>
              <w:righ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55"/>
        <w:gridCol w:w="2910"/>
      </w:tblGrid>
      <w:tr w:rsidR="00C4415F">
        <w:tc>
          <w:tcPr>
            <w:tcW w:w="8355" w:type="dxa"/>
          </w:tcPr>
          <w:p w:rsidR="00C4415F" w:rsidRDefault="00C4415F">
            <w:pPr>
              <w:pStyle w:val="ConsPlusNormal"/>
              <w:jc w:val="both"/>
            </w:pPr>
            <w:r>
              <w:t>Пункты диагностической карты, требующие повторной проверки:</w:t>
            </w:r>
          </w:p>
        </w:tc>
        <w:tc>
          <w:tcPr>
            <w:tcW w:w="2910" w:type="dxa"/>
            <w:vMerge w:val="restart"/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  <w:tr w:rsidR="00C4415F">
        <w:tc>
          <w:tcPr>
            <w:tcW w:w="8355" w:type="dxa"/>
          </w:tcPr>
          <w:p w:rsidR="00C4415F" w:rsidRDefault="00C4415F">
            <w:pPr>
              <w:pStyle w:val="ConsPlusNormal"/>
            </w:pPr>
          </w:p>
        </w:tc>
        <w:tc>
          <w:tcPr>
            <w:tcW w:w="2910" w:type="dxa"/>
            <w:vMerge/>
          </w:tcPr>
          <w:p w:rsidR="00C4415F" w:rsidRDefault="00C4415F"/>
        </w:tc>
      </w:tr>
    </w:tbl>
    <w:p w:rsidR="00C4415F" w:rsidRDefault="00C4415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570"/>
        <w:gridCol w:w="341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4415F">
        <w:tc>
          <w:tcPr>
            <w:tcW w:w="850" w:type="dxa"/>
            <w:tcBorders>
              <w:right w:val="nil"/>
            </w:tcBorders>
          </w:tcPr>
          <w:p w:rsidR="00C4415F" w:rsidRDefault="00C4415F">
            <w:pPr>
              <w:pStyle w:val="ConsPlusNormal"/>
              <w:jc w:val="both"/>
            </w:pPr>
            <w:r>
              <w:t>Дата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  <w:tcBorders>
              <w:right w:val="nil"/>
            </w:tcBorders>
          </w:tcPr>
          <w:p w:rsidR="00C4415F" w:rsidRDefault="00C4415F">
            <w:pPr>
              <w:pStyle w:val="ConsPlusNormal"/>
            </w:pPr>
            <w:r>
              <w:t>Повторный технический осмотр провести до</w:t>
            </w:r>
          </w:p>
        </w:tc>
        <w:tc>
          <w:tcPr>
            <w:tcW w:w="340" w:type="dxa"/>
            <w:tcBorders>
              <w:left w:val="nil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</w:tr>
      <w:tr w:rsidR="00C4415F">
        <w:tblPrEx>
          <w:tblBorders>
            <w:insideV w:val="nil"/>
          </w:tblBorders>
        </w:tblPrEx>
        <w:tc>
          <w:tcPr>
            <w:tcW w:w="850" w:type="dxa"/>
            <w:tcBorders>
              <w:lef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570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12" w:type="dxa"/>
          </w:tcPr>
          <w:p w:rsidR="00C4415F" w:rsidRDefault="00C4415F">
            <w:pPr>
              <w:pStyle w:val="ConsPlusNormal"/>
            </w:pPr>
          </w:p>
        </w:tc>
        <w:tc>
          <w:tcPr>
            <w:tcW w:w="3400" w:type="dxa"/>
            <w:gridSpan w:val="10"/>
            <w:tcBorders>
              <w:right w:val="single" w:sz="4" w:space="0" w:color="auto"/>
            </w:tcBorders>
          </w:tcPr>
          <w:p w:rsidR="00C4415F" w:rsidRDefault="00C4415F">
            <w:pPr>
              <w:pStyle w:val="ConsPlusNormal"/>
            </w:pP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технического эксперта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  <w:jc w:val="both"/>
            </w:pPr>
            <w:r>
              <w:t>Печать &lt;**&gt;</w:t>
            </w:r>
          </w:p>
          <w:p w:rsidR="00C4415F" w:rsidRDefault="00C4415F">
            <w:pPr>
              <w:pStyle w:val="ConsPlusNormal"/>
              <w:jc w:val="both"/>
            </w:pPr>
            <w:r>
              <w:t>Stamp</w:t>
            </w:r>
          </w:p>
        </w:tc>
      </w:tr>
      <w:tr w:rsidR="00C4415F">
        <w:tc>
          <w:tcPr>
            <w:tcW w:w="11292" w:type="dxa"/>
            <w:gridSpan w:val="22"/>
          </w:tcPr>
          <w:p w:rsidR="00C4415F" w:rsidRDefault="00C4415F">
            <w:pPr>
              <w:pStyle w:val="ConsPlusNormal"/>
              <w:jc w:val="both"/>
            </w:pPr>
            <w:r>
              <w:t>Ф.И.О. сотрудника Госавтоинспекции</w:t>
            </w:r>
          </w:p>
        </w:tc>
      </w:tr>
      <w:tr w:rsidR="00C4415F">
        <w:tc>
          <w:tcPr>
            <w:tcW w:w="3230" w:type="dxa"/>
            <w:gridSpan w:val="8"/>
          </w:tcPr>
          <w:p w:rsidR="00C4415F" w:rsidRDefault="00C4415F">
            <w:pPr>
              <w:pStyle w:val="ConsPlusNormal"/>
              <w:jc w:val="both"/>
            </w:pPr>
            <w:r>
              <w:t>Подпись</w:t>
            </w:r>
          </w:p>
          <w:p w:rsidR="00C4415F" w:rsidRDefault="00C4415F">
            <w:pPr>
              <w:pStyle w:val="ConsPlusNormal"/>
              <w:jc w:val="both"/>
            </w:pPr>
            <w:r>
              <w:t>Signature</w:t>
            </w:r>
          </w:p>
        </w:tc>
        <w:tc>
          <w:tcPr>
            <w:tcW w:w="8062" w:type="dxa"/>
            <w:gridSpan w:val="14"/>
          </w:tcPr>
          <w:p w:rsidR="00C4415F" w:rsidRDefault="00C4415F">
            <w:pPr>
              <w:pStyle w:val="ConsPlusNormal"/>
            </w:pPr>
          </w:p>
        </w:tc>
      </w:tr>
    </w:tbl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>--------------------------------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&lt;*&gt; Нумерация строк соответствует нумерации обязательных требований безопасности, предъявляемых к транспортным средствам при проведении технического осмотра отдельных категорий, указанных в приложении к Правилам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Федерации".</w:t>
      </w:r>
    </w:p>
    <w:p w:rsidR="00C4415F" w:rsidRDefault="00C4415F">
      <w:pPr>
        <w:pStyle w:val="ConsPlusNormal"/>
        <w:spacing w:before="220"/>
        <w:ind w:firstLine="540"/>
        <w:jc w:val="both"/>
      </w:pPr>
      <w:r>
        <w:t>&lt;**&gt; Печать оператора технического осмотра проставляется в случае выдачи диагностической карты на бумажном носителе.".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ind w:firstLine="540"/>
        <w:jc w:val="both"/>
      </w:pPr>
      <w:r>
        <w:t xml:space="preserve">4. В </w:t>
      </w:r>
      <w:hyperlink r:id="rId97" w:history="1">
        <w:r>
          <w:rPr>
            <w:color w:val="0000FF"/>
          </w:rPr>
          <w:t>пункте 2</w:t>
        </w:r>
      </w:hyperlink>
      <w:r>
        <w:t xml:space="preserve"> Положения о государственном контроле (надзоре) за организацией и проведением технического осмотра транспортных средств, утвержденного постановлением Правительства Российской Федерации от 28 мая 2020 г. N 777 "О государственном контроле (надзоре) за организацией и проведением технического осмотра транспортных средств" (Собрание законодательства Российской Федерации, 2020, N 23, ст. 3642), слова "Правил проведения технического осмотра транспортных средств, утвержденных постановлением Правительства Российской Федерации от 5 декабря 2011 г. N 1008 "О проведении технического осмотра транспортных средств", и порядка организации и проведения технического осмотра автобусов, устанавливаемого Правительством Российской Федерации в соответствии с частью 4 статьи 2 Федерального закона "О техническом осмотре транспортных средств и о внесении изменений в отдельные законодательные акты Российской Федерации" заменить словами "Правилами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98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 от 23 мая 2020 г. N 741 "Об утверждении Правил организации и проведения технического осмотра автобусов".</w:t>
      </w: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jc w:val="both"/>
      </w:pPr>
    </w:p>
    <w:p w:rsidR="00C4415F" w:rsidRDefault="00C441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7629" w:rsidRDefault="00E97629"/>
    <w:sectPr w:rsidR="00E97629" w:rsidSect="003E7A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5F"/>
    <w:rsid w:val="00C4415F"/>
    <w:rsid w:val="00E97629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41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41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41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41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2120D3359895CC8FECA13FDF04BEF3DA8058031D76DA9BD0EAF46A2F8566F683BB0EBE82B75F358733269190F4A9E3B812C560B70Dz5WCJ" TargetMode="External"/><Relationship Id="rId21" Type="http://schemas.openxmlformats.org/officeDocument/2006/relationships/hyperlink" Target="consultantplus://offline/ref=8E2120D3359895CC8FECA13FDF04BEF3DA815C051272DA9BD0EAF46A2F8566F683BB0EBA85B35C3ED5693695D9A1A7FDBB0FDB61A90D5D44zAW9J" TargetMode="External"/><Relationship Id="rId34" Type="http://schemas.openxmlformats.org/officeDocument/2006/relationships/hyperlink" Target="consultantplus://offline/ref=8E2120D3359895CC8FECA13FDF04BEF3DA8458031D70DA9BD0EAF46A2F8566F683BB0EBA85B05D3FDA693695D9A1A7FDBB0FDB61A90D5D44zAW9J" TargetMode="External"/><Relationship Id="rId42" Type="http://schemas.openxmlformats.org/officeDocument/2006/relationships/hyperlink" Target="consultantplus://offline/ref=8E2120D3359895CC8FECA13FDF04BEF3DA8458031D70DA9BD0EAF46A2F8566F683BB0EBA85B05C3FD2693695D9A1A7FDBB0FDB61A90D5D44zAW9J" TargetMode="External"/><Relationship Id="rId47" Type="http://schemas.openxmlformats.org/officeDocument/2006/relationships/hyperlink" Target="consultantplus://offline/ref=8E2120D3359895CC8FECA13FDF04BEF3DA8458031D70DA9BD0EAF46A2F8566F683BB0EBA85B05F36D6693695D9A1A7FDBB0FDB61A90D5D44zAW9J" TargetMode="External"/><Relationship Id="rId50" Type="http://schemas.openxmlformats.org/officeDocument/2006/relationships/hyperlink" Target="consultantplus://offline/ref=8E2120D3359895CC8FECA13FDF04BEF3DA8458031D70DA9BD0EAF46A2F8566F683BB0EBA85B0583AD2693695D9A1A7FDBB0FDB61A90D5D44zAW9J" TargetMode="External"/><Relationship Id="rId55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3" Type="http://schemas.openxmlformats.org/officeDocument/2006/relationships/hyperlink" Target="consultantplus://offline/ref=8E2120D3359895CC8FECA13FDF04BEF3DA8458031D70DA9BD0EAF46A2F8566F683BB0EBD87B5576A822637C99DF7B4FDBB0FD962B5z0WEJ" TargetMode="External"/><Relationship Id="rId68" Type="http://schemas.openxmlformats.org/officeDocument/2006/relationships/hyperlink" Target="consultantplus://offline/ref=8E2120D3359895CC8FECA13FDF04BEF3DA8458031D70DA9BD0EAF46A2F8566F683BB0EBA85B0593BD3693695D9A1A7FDBB0FDB61A90D5D44zAW9J" TargetMode="External"/><Relationship Id="rId76" Type="http://schemas.openxmlformats.org/officeDocument/2006/relationships/hyperlink" Target="consultantplus://offline/ref=8E2120D3359895CC8FECA13FDF04BEF3DA8458031D70DA9BD0EAF46A2F8566F683BB0EBA85B05A3DD7693695D9A1A7FDBB0FDB61A90D5D44zAW9J" TargetMode="External"/><Relationship Id="rId84" Type="http://schemas.openxmlformats.org/officeDocument/2006/relationships/hyperlink" Target="consultantplus://offline/ref=8E2120D3359895CC8FECA13FDF04BEF3DA815A031477DA9BD0EAF46A2F8566F683BB0EBA85B35C3FD3693695D9A1A7FDBB0FDB61A90D5D44zAW9J" TargetMode="External"/><Relationship Id="rId89" Type="http://schemas.openxmlformats.org/officeDocument/2006/relationships/hyperlink" Target="consultantplus://offline/ref=8E2120D3359895CC8FECA13FDF04BEF3DA815A031477DA9BD0EAF46A2F8566F683BB0EBA85B35C3FD0693695D9A1A7FDBB0FDB61A90D5D44zAW9J" TargetMode="External"/><Relationship Id="rId97" Type="http://schemas.openxmlformats.org/officeDocument/2006/relationships/hyperlink" Target="consultantplus://offline/ref=8E2120D3359895CC8FECA13FDF04BEF3DA835B061075DA9BD0EAF46A2F8566F683BB0EBA85B35C3FD6693695D9A1A7FDBB0FDB61A90D5D44zAW9J" TargetMode="External"/><Relationship Id="rId7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71" Type="http://schemas.openxmlformats.org/officeDocument/2006/relationships/hyperlink" Target="consultantplus://offline/ref=8E2120D3359895CC8FECA13FDF04BEF3DA8458031D70DA9BD0EAF46A2F8566F683BB0EBA85B0593BD6693695D9A1A7FDBB0FDB61A90D5D44zAW9J" TargetMode="External"/><Relationship Id="rId92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2120D3359895CC8FECA13FDF04BEF3DA8556001470DA9BD0EAF46A2F8566F683BB0EBA85B35D36DB693695D9A1A7FDBB0FDB61A90D5D44zAW9J" TargetMode="External"/><Relationship Id="rId29" Type="http://schemas.openxmlformats.org/officeDocument/2006/relationships/hyperlink" Target="consultantplus://offline/ref=8E2120D3359895CC8FECA13FDF04BEF3DA8458031D70DA9BD0EAF46A2F8566F683BB0EBA85B05C3FDB693695D9A1A7FDBB0FDB61A90D5D44zAW9J" TargetMode="External"/><Relationship Id="rId11" Type="http://schemas.openxmlformats.org/officeDocument/2006/relationships/hyperlink" Target="consultantplus://offline/ref=8E2120D3359895CC8FECA13FDF04BEF3DA805C061077DA9BD0EAF46A2F8566F683BB0EBA8EE70D7A866F62C783F4A9E3BA11D9z6W3J" TargetMode="External"/><Relationship Id="rId24" Type="http://schemas.openxmlformats.org/officeDocument/2006/relationships/hyperlink" Target="consultantplus://offline/ref=8E2120D3359895CC8FECA13FDF04BEF3DA8556001470DA9BD0EAF46A2F8566F683BB0EBA85B35C3ADA693695D9A1A7FDBB0FDB61A90D5D44zAW9J" TargetMode="External"/><Relationship Id="rId32" Type="http://schemas.openxmlformats.org/officeDocument/2006/relationships/hyperlink" Target="consultantplus://offline/ref=8E2120D3359895CC8FECA13FDF04BEF3DA8458031D70DA9BD0EAF46A2F8566F683BB0EBA85B05C3FD5693695D9A1A7FDBB0FDB61A90D5D44zAW9J" TargetMode="External"/><Relationship Id="rId37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0" Type="http://schemas.openxmlformats.org/officeDocument/2006/relationships/hyperlink" Target="consultantplus://offline/ref=8E2120D3359895CC8FECA13FDF04BEF3DA8458031D70DA9BD0EAF46A2F8566F683BB0EBA85B05D3BDB693695D9A1A7FDBB0FDB61A90D5D44zAW9J" TargetMode="External"/><Relationship Id="rId45" Type="http://schemas.openxmlformats.org/officeDocument/2006/relationships/hyperlink" Target="consultantplus://offline/ref=8E2120D3359895CC8FECA13FDF04BEF3DA8458031D70DA9BD0EAF46A2F8566F683BB0EBA85B05D3ADB693695D9A1A7FDBB0FDB61A90D5D44zAW9J" TargetMode="External"/><Relationship Id="rId53" Type="http://schemas.openxmlformats.org/officeDocument/2006/relationships/hyperlink" Target="consultantplus://offline/ref=8E2120D3359895CC8FECA13FDF04BEF3DA8458031D70DA9BD0EAF46A2F8566F683BB0EBA85B05839D0693695D9A1A7FDBB0FDB61A90D5D44zAW9J" TargetMode="External"/><Relationship Id="rId58" Type="http://schemas.openxmlformats.org/officeDocument/2006/relationships/hyperlink" Target="consultantplus://offline/ref=8E2120D3359895CC8FECA13FDF04BEF3DA8458031D70DA9BD0EAF46A2F8566F683BB0EBA85B0583CD2693695D9A1A7FDBB0FDB61A90D5D44zAW9J" TargetMode="External"/><Relationship Id="rId66" Type="http://schemas.openxmlformats.org/officeDocument/2006/relationships/hyperlink" Target="consultantplus://offline/ref=8E2120D3359895CC8FECA13FDF04BEF3DA8458031D70DA9BD0EAF46A2F8566F683BB0EBA85B0593AD1693695D9A1A7FDBB0FDB61A90D5D44zAW9J" TargetMode="External"/><Relationship Id="rId74" Type="http://schemas.openxmlformats.org/officeDocument/2006/relationships/hyperlink" Target="consultantplus://offline/ref=8E2120D3359895CC8FECA13FDF04BEF3DA8458031D70DA9BD0EAF46A2F8566F683BB0EBA85B05939D0693695D9A1A7FDBB0FDB61A90D5D44zAW9J" TargetMode="External"/><Relationship Id="rId79" Type="http://schemas.openxmlformats.org/officeDocument/2006/relationships/hyperlink" Target="consultantplus://offline/ref=8E2120D3359895CC8FECA13FDF04BEF3DA8458031D70DA9BD0EAF46A2F8566F683BB0EBA85B05A38D1693695D9A1A7FDBB0FDB61A90D5D44zAW9J" TargetMode="External"/><Relationship Id="rId87" Type="http://schemas.openxmlformats.org/officeDocument/2006/relationships/hyperlink" Target="consultantplus://offline/ref=8E2120D3359895CC8FECA13FDF04BEF3DA835E001C7ADA9BD0EAF46A2F8566F691BB56B685B0423ED07C60C49FzFW5J" TargetMode="External"/><Relationship Id="rId5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61" Type="http://schemas.openxmlformats.org/officeDocument/2006/relationships/hyperlink" Target="consultantplus://offline/ref=8E2120D3359895CC8FECA13FDF04BEF3DA8458031D70DA9BD0EAF46A2F8566F683BB0EBA85B0593FD6693695D9A1A7FDBB0FDB61A90D5D44zAW9J" TargetMode="External"/><Relationship Id="rId82" Type="http://schemas.openxmlformats.org/officeDocument/2006/relationships/hyperlink" Target="consultantplus://offline/ref=8E2120D3359895CC8FECA430DC04BEF3DF865E061C788791D8B3F868288A39F384AA0EBB86AD5C3DCD6062C6z9WCJ" TargetMode="External"/><Relationship Id="rId90" Type="http://schemas.openxmlformats.org/officeDocument/2006/relationships/hyperlink" Target="consultantplus://offline/ref=8E2120D3359895CC8FECA13FDF04BEF3DA8458031D70DA9BD0EAF46A2F8566F683BB0EBA85B35937DB693695D9A1A7FDBB0FDB61A90D5D44zAW9J" TargetMode="External"/><Relationship Id="rId95" Type="http://schemas.openxmlformats.org/officeDocument/2006/relationships/hyperlink" Target="consultantplus://offline/ref=8E2120D3359895CC8FECA13FDF04BEF3DA835C051D71DA9BD0EAF46A2F8566F683BB0EBA85B35C3FD0693695D9A1A7FDBB0FDB61A90D5D44zAW9J" TargetMode="External"/><Relationship Id="rId19" Type="http://schemas.openxmlformats.org/officeDocument/2006/relationships/hyperlink" Target="consultantplus://offline/ref=8E2120D3359895CC8FECA13FDF04BEF3DA8057021271DA9BD0EAF46A2F8566F683BB0EBA85B35D3CD7693695D9A1A7FDBB0FDB61A90D5D44zAW9J" TargetMode="External"/><Relationship Id="rId14" Type="http://schemas.openxmlformats.org/officeDocument/2006/relationships/hyperlink" Target="consultantplus://offline/ref=8E2120D3359895CC8FECA13FDF04BEF3D8825E011671DA9BD0EAF46A2F8566F683BB0EBA85B35C3FD3693695D9A1A7FDBB0FDB61A90D5D44zAW9J" TargetMode="External"/><Relationship Id="rId22" Type="http://schemas.openxmlformats.org/officeDocument/2006/relationships/hyperlink" Target="consultantplus://offline/ref=8E2120D3359895CC8FECA13FDF04BEF3DA80560F1372DA9BD0EAF46A2F8566F683BB0EBA85B35C3FD7693695D9A1A7FDBB0FDB61A90D5D44zAW9J" TargetMode="External"/><Relationship Id="rId27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30" Type="http://schemas.openxmlformats.org/officeDocument/2006/relationships/hyperlink" Target="consultantplus://offline/ref=8E2120D3359895CC8FECA13FDF04BEF3DA8458031D70DA9BD0EAF46A2F8566F683BB0EBA85B05C39D0693695D9A1A7FDBB0FDB61A90D5D44zAW9J" TargetMode="External"/><Relationship Id="rId35" Type="http://schemas.openxmlformats.org/officeDocument/2006/relationships/hyperlink" Target="consultantplus://offline/ref=8E2120D3359895CC8FECA13FDF04BEF3DA8458031D70DA9BD0EAF46A2F8566F683BB0EBA85B05D3AD1693695D9A1A7FDBB0FDB61A90D5D44zAW9J" TargetMode="External"/><Relationship Id="rId43" Type="http://schemas.openxmlformats.org/officeDocument/2006/relationships/hyperlink" Target="consultantplus://offline/ref=8E2120D3359895CC8FECA13FDF04BEF3DA8458031D70DA9BD0EAF46A2F8566F683BB0EBA85B05D3AD6693695D9A1A7FDBB0FDB61A90D5D44zAW9J" TargetMode="External"/><Relationship Id="rId48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6" Type="http://schemas.openxmlformats.org/officeDocument/2006/relationships/hyperlink" Target="consultantplus://offline/ref=8E2120D3359895CC8FECA13FDF04BEF3DA8458031D70DA9BD0EAF46A2F8566F683BB0EBF8CB6576A822637C99DF7B4FDBB0FD962B5z0WEJ" TargetMode="External"/><Relationship Id="rId64" Type="http://schemas.openxmlformats.org/officeDocument/2006/relationships/hyperlink" Target="consultantplus://offline/ref=8E2120D3359895CC8FECA13FDF04BEF3DA8458031D70DA9BD0EAF46A2F8566F683BB0EBA85B35838DB693695D9A1A7FDBB0FDB61A90D5D44zAW9J" TargetMode="External"/><Relationship Id="rId69" Type="http://schemas.openxmlformats.org/officeDocument/2006/relationships/hyperlink" Target="consultantplus://offline/ref=8E2120D3359895CC8FECA13FDF04BEF3DA8458031D70DA9BD0EAF46A2F8566F683BB0EBA85B0593BD1693695D9A1A7FDBB0FDB61A90D5D44zAW9J" TargetMode="External"/><Relationship Id="rId77" Type="http://schemas.openxmlformats.org/officeDocument/2006/relationships/hyperlink" Target="consultantplus://offline/ref=8E2120D3359895CC8FECA13FDF04BEF3DA8458031D70DA9BD0EAF46A2F8566F683BB0EBA85B05A3AD3693695D9A1A7FDBB0FDB61A90D5D44zAW9J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8E2120D3359895CC8FECA13FDF04BEF3DA8256041572DA9BD0EAF46A2F8566F691BB56B685B0423ED07C60C49FzFW5J" TargetMode="External"/><Relationship Id="rId51" Type="http://schemas.openxmlformats.org/officeDocument/2006/relationships/hyperlink" Target="consultantplus://offline/ref=8E2120D3359895CC8FECA13FDF04BEF3DA8458031D70DA9BD0EAF46A2F8566F683BB0EBA85B0583BD3693695D9A1A7FDBB0FDB61A90D5D44zAW9J" TargetMode="External"/><Relationship Id="rId72" Type="http://schemas.openxmlformats.org/officeDocument/2006/relationships/hyperlink" Target="consultantplus://offline/ref=8E2120D3359895CC8FECA13FDF04BEF3DA8458031D70DA9BD0EAF46A2F8566F683BB0EBA85B05938D7693695D9A1A7FDBB0FDB61A90D5D44zAW9J" TargetMode="External"/><Relationship Id="rId80" Type="http://schemas.openxmlformats.org/officeDocument/2006/relationships/hyperlink" Target="consultantplus://offline/ref=8E2120D3359895CC8FECA13FDF04BEF3DA8458031D70DA9BD0EAF46A2F8566F683BB0EBA85B05A38DA693695D9A1A7FDBB0FDB61A90D5D44zAW9J" TargetMode="External"/><Relationship Id="rId85" Type="http://schemas.openxmlformats.org/officeDocument/2006/relationships/hyperlink" Target="consultantplus://offline/ref=8E2120D3359895CC8FECA13FDF04BEF3DA8458031D70DA9BD0EAF46A2F8566F683BB0EBA85B35A3ED7693695D9A1A7FDBB0FDB61A90D5D44zAW9J" TargetMode="External"/><Relationship Id="rId93" Type="http://schemas.openxmlformats.org/officeDocument/2006/relationships/hyperlink" Target="consultantplus://offline/ref=8E2120D3359895CC8FECA13FDF04BEF3D8835B021074DA9BD0EAF46A2F8566F683BB0EBA85B35C3ED6693695D9A1A7FDBB0FDB61A90D5D44zAW9J" TargetMode="External"/><Relationship Id="rId98" Type="http://schemas.openxmlformats.org/officeDocument/2006/relationships/hyperlink" Target="consultantplus://offline/ref=8E2120D3359895CC8FECA13FDF04BEF3DA805C061075DA9BD0EAF46A2F8566F683BB0EBA85B35C3EDA693695D9A1A7FDBB0FDB61A90D5D44zAW9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2120D3359895CC8FECA430DC04BEF3DF865E061C788791D8B3F868288A39F384AA0EBB86AD5C3DCD6062C6z9WCJ" TargetMode="External"/><Relationship Id="rId17" Type="http://schemas.openxmlformats.org/officeDocument/2006/relationships/hyperlink" Target="consultantplus://offline/ref=8E2120D3359895CC8FECA13FDF04BEF3D88557011477DA9BD0EAF46A2F8566F683BB0EBA85B35C3FD3693695D9A1A7FDBB0FDB61A90D5D44zAW9J" TargetMode="External"/><Relationship Id="rId25" Type="http://schemas.openxmlformats.org/officeDocument/2006/relationships/hyperlink" Target="consultantplus://offline/ref=8E2120D3359895CC8FECA13FDF04BEF3DA8556001470DA9BD0EAF46A2F8566F683BB0EBA81B7576A822637C99DF7B4FDBB0FD962B5z0WEJ" TargetMode="External"/><Relationship Id="rId33" Type="http://schemas.openxmlformats.org/officeDocument/2006/relationships/hyperlink" Target="consultantplus://offline/ref=8E2120D3359895CC8FECA13FDF04BEF3DA8458031D70DA9BD0EAF46A2F8566F683BB0EBA85B05D3FD2693695D9A1A7FDBB0FDB61A90D5D44zAW9J" TargetMode="External"/><Relationship Id="rId38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46" Type="http://schemas.openxmlformats.org/officeDocument/2006/relationships/hyperlink" Target="consultantplus://offline/ref=8E2120D3359895CC8FECA13FDF04BEF3DA8458031D70DA9BD0EAF46A2F8566F683BB0EBA85B05F36D7693695D9A1A7FDBB0FDB61A90D5D44zAW9J" TargetMode="External"/><Relationship Id="rId59" Type="http://schemas.openxmlformats.org/officeDocument/2006/relationships/hyperlink" Target="consultantplus://offline/ref=8E2120D3359895CC8FECA13FDF04BEF3DA8458031D70DA9BD0EAF46A2F8566F683BB0EBE86BB576A822637C99DF7B4FDBB0FD962B5z0WEJ" TargetMode="External"/><Relationship Id="rId67" Type="http://schemas.openxmlformats.org/officeDocument/2006/relationships/hyperlink" Target="consultantplus://offline/ref=8E2120D3359895CC8FECA13FDF04BEF3DA8458031D70DA9BD0EAF46A2F8566F683BB0EBA85B0593AD4693695D9A1A7FDBB0FDB61A90D5D44zAW9J" TargetMode="External"/><Relationship Id="rId20" Type="http://schemas.openxmlformats.org/officeDocument/2006/relationships/hyperlink" Target="consultantplus://offline/ref=8E2120D3359895CC8FECA13FDF04BEF3DA835902167ADA9BD0EAF46A2F8566F683BB0EBA85B35C3FD2693695D9A1A7FDBB0FDB61A90D5D44zAW9J" TargetMode="External"/><Relationship Id="rId41" Type="http://schemas.openxmlformats.org/officeDocument/2006/relationships/hyperlink" Target="consultantplus://offline/ref=8E2120D3359895CC8FECA13FDF04BEF3DA8458031D70DA9BD0EAF46A2F8566F683BB0EBF82B6576A822637C99DF7B4FDBB0FD962B5z0WEJ" TargetMode="External"/><Relationship Id="rId54" Type="http://schemas.openxmlformats.org/officeDocument/2006/relationships/hyperlink" Target="consultantplus://offline/ref=8E2120D3359895CC8FECA13FDF04BEF3DA8458031D70DA9BD0EAF46A2F8566F683BB0EBA85B05E3CD0693695D9A1A7FDBB0FDB61A90D5D44zAW9J" TargetMode="External"/><Relationship Id="rId62" Type="http://schemas.openxmlformats.org/officeDocument/2006/relationships/hyperlink" Target="consultantplus://offline/ref=8E2120D3359895CC8FECA13FDF04BEF3DA8458031D70DA9BD0EAF46A2F8566F683BB0EBA85B25539D0693695D9A1A7FDBB0FDB61A90D5D44zAW9J" TargetMode="External"/><Relationship Id="rId70" Type="http://schemas.openxmlformats.org/officeDocument/2006/relationships/hyperlink" Target="consultantplus://offline/ref=8E2120D3359895CC8FECA13FDF04BEF3DA8458031D70DA9BD0EAF46A2F8566F683BB0EBA85B0593BD7693695D9A1A7FDBB0FDB61A90D5D44zAW9J" TargetMode="External"/><Relationship Id="rId75" Type="http://schemas.openxmlformats.org/officeDocument/2006/relationships/hyperlink" Target="consultantplus://offline/ref=8E2120D3359895CC8FECA13FDF04BEF3DA8458031D70DA9BD0EAF46A2F8566F683BB0EBA85B05939D5693695D9A1A7FDBB0FDB61A90D5D44zAW9J" TargetMode="External"/><Relationship Id="rId83" Type="http://schemas.openxmlformats.org/officeDocument/2006/relationships/hyperlink" Target="consultantplus://offline/ref=8E2120D3359895CC8FECA430DC04BEF3DF865E061C788791D8B3F868288A39F384AA0EBB86AD5C3DCD6062C6z9WCJ" TargetMode="External"/><Relationship Id="rId88" Type="http://schemas.openxmlformats.org/officeDocument/2006/relationships/hyperlink" Target="consultantplus://offline/ref=8E2120D3359895CC8FECA430DC04BEF3DF865E061C788791D8B3F868288A39F384AA0EBB86AD5C3DCD6062C6z9WCJ" TargetMode="External"/><Relationship Id="rId91" Type="http://schemas.openxmlformats.org/officeDocument/2006/relationships/hyperlink" Target="consultantplus://offline/ref=8E2120D3359895CC8FECA13FDF04BEF3DA815C001274DA9BD0EAF46A2F8566F683BB0EBA85B35E38D0693695D9A1A7FDBB0FDB61A90D5D44zAW9J" TargetMode="External"/><Relationship Id="rId96" Type="http://schemas.openxmlformats.org/officeDocument/2006/relationships/hyperlink" Target="consultantplus://offline/ref=8E2120D3359895CC8FECA13FDF04BEF3DA835C051D71DA9BD0EAF46A2F8566F683BB0EBA85B35C3CDA693695D9A1A7FDBB0FDB61A90D5D44zAW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15" Type="http://schemas.openxmlformats.org/officeDocument/2006/relationships/hyperlink" Target="consultantplus://offline/ref=8E2120D3359895CC8FECA13FDF04BEF3DA8556001470DA9BD0EAF46A2F8566F691BB56B685B0423ED07C60C49FzFW5J" TargetMode="External"/><Relationship Id="rId23" Type="http://schemas.openxmlformats.org/officeDocument/2006/relationships/hyperlink" Target="consultantplus://offline/ref=8E2120D3359895CC8FECA13FDF04BEF3DA8556001470DA9BD0EAF46A2F8566F683BB0EBA85B35D37DA693695D9A1A7FDBB0FDB61A90D5D44zAW9J" TargetMode="External"/><Relationship Id="rId28" Type="http://schemas.openxmlformats.org/officeDocument/2006/relationships/hyperlink" Target="consultantplus://offline/ref=8E2120D3359895CC8FECA13FDF04BEF3DA8458031D70DA9BD0EAF46A2F8566F683BB0EBA85B05C3FD7693695D9A1A7FDBB0FDB61A90D5D44zAW9J" TargetMode="External"/><Relationship Id="rId36" Type="http://schemas.openxmlformats.org/officeDocument/2006/relationships/hyperlink" Target="consultantplus://offline/ref=8E2120D3359895CC8FECA13FDF04BEF3DA8458031D70DA9BD0EAF46A2F8566F683BB0EBA85B05D3CD7693695D9A1A7FDBB0FDB61A90D5D44zAW9J" TargetMode="External"/><Relationship Id="rId49" Type="http://schemas.openxmlformats.org/officeDocument/2006/relationships/hyperlink" Target="consultantplus://offline/ref=8E2120D3359895CC8FECA13FDF04BEF3DA8458031D70DA9BD0EAF46A2F8566F683BB0EBA85B05F37D0693695D9A1A7FDBB0FDB61A90D5D44zAW9J" TargetMode="External"/><Relationship Id="rId57" Type="http://schemas.openxmlformats.org/officeDocument/2006/relationships/hyperlink" Target="consultantplus://offline/ref=8E2120D3359895CC8FECA13FDF04BEF3DA8458031D70DA9BD0EAF46A2F8566F683BB0EBA85B0583DDB693695D9A1A7FDBB0FDB61A90D5D44zAW9J" TargetMode="External"/><Relationship Id="rId10" Type="http://schemas.openxmlformats.org/officeDocument/2006/relationships/hyperlink" Target="consultantplus://offline/ref=8E2120D3359895CC8FECA13FDF04BEF3DA815A031477DA9BD0EAF46A2F8566F683BB0EBA85B35C3ED6693695D9A1A7FDBB0FDB61A90D5D44zAW9J" TargetMode="External"/><Relationship Id="rId31" Type="http://schemas.openxmlformats.org/officeDocument/2006/relationships/hyperlink" Target="consultantplus://offline/ref=8E2120D3359895CC8FECA13FDF04BEF3DA8458031D70DA9BD0EAF46A2F8566F683BB0EBF80B3576A822637C99DF7B4FDBB0FD962B5z0WEJ" TargetMode="External"/><Relationship Id="rId44" Type="http://schemas.openxmlformats.org/officeDocument/2006/relationships/hyperlink" Target="consultantplus://offline/ref=8E2120D3359895CC8FECA13FDF04BEF3DA8458031D70DA9BD0EAF46A2F8566F683BB0EBA85B05D3AD4693695D9A1A7FDBB0FDB61A90D5D44zAW9J" TargetMode="External"/><Relationship Id="rId52" Type="http://schemas.openxmlformats.org/officeDocument/2006/relationships/hyperlink" Target="consultantplus://offline/ref=8E2120D3359895CC8FECA13FDF04BEF3DA8458031D70DA9BD0EAF46A2F8566F683BB0EBA85B05838D2693695D9A1A7FDBB0FDB61A90D5D44zAW9J" TargetMode="External"/><Relationship Id="rId60" Type="http://schemas.openxmlformats.org/officeDocument/2006/relationships/hyperlink" Target="consultantplus://offline/ref=8E2120D3359895CC8FECA13FDF04BEF3DA8458031D70DA9BD0EAF46A2F8566F683BB0EBA85B0593FD0693695D9A1A7FDBB0FDB61A90D5D44zAW9J" TargetMode="External"/><Relationship Id="rId65" Type="http://schemas.openxmlformats.org/officeDocument/2006/relationships/hyperlink" Target="consultantplus://offline/ref=8E2120D3359895CC8FECA13FDF04BEF3DA8458031D70DA9BD0EAF46A2F8566F683BB0EBA85B0593DD3693695D9A1A7FDBB0FDB61A90D5D44zAW9J" TargetMode="External"/><Relationship Id="rId73" Type="http://schemas.openxmlformats.org/officeDocument/2006/relationships/hyperlink" Target="consultantplus://offline/ref=8E2120D3359895CC8FECA13FDF04BEF3DA8458031D70DA9BD0EAF46A2F8566F683BB0EBA85B05938DA693695D9A1A7FDBB0FDB61A90D5D44zAW9J" TargetMode="External"/><Relationship Id="rId78" Type="http://schemas.openxmlformats.org/officeDocument/2006/relationships/hyperlink" Target="consultantplus://offline/ref=8E2120D3359895CC8FECA13FDF04BEF3DA8458031D70DA9BD0EAF46A2F8566F683BB0EBA85B05A3BD6693695D9A1A7FDBB0FDB61A90D5D44zAW9J" TargetMode="External"/><Relationship Id="rId81" Type="http://schemas.openxmlformats.org/officeDocument/2006/relationships/hyperlink" Target="consultantplus://offline/ref=8E2120D3359895CC8FECA13FDF04BEF3DA8458031D70DA9BD0EAF46A2F8566F683BB0EBA85B05A39D6693695D9A1A7FDBB0FDB61A90D5D44zAW9J" TargetMode="External"/><Relationship Id="rId86" Type="http://schemas.openxmlformats.org/officeDocument/2006/relationships/hyperlink" Target="consultantplus://offline/ref=8E2120D3359895CC8FECA13FDF04BEF3DA8458031D70DA9BD0EAF46A2F8566F683BB0EBA85B35C3DD6693695D9A1A7FDBB0FDB61A90D5D44zAW9J" TargetMode="External"/><Relationship Id="rId94" Type="http://schemas.openxmlformats.org/officeDocument/2006/relationships/hyperlink" Target="consultantplus://offline/ref=8E2120D3359895CC8FECA13FDF04BEF3DA835C051D71DA9BD0EAF46A2F8566F683BB0EBA85B35C3EDA693695D9A1A7FDBB0FDB61A90D5D44zAW9J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2120D3359895CC8FECA13FDF04BEF3DA8256041572DA9BD0EAF46A2F8566F683BB0EBA85B35E38D3693695D9A1A7FDBB0FDB61A90D5D44zAW9J" TargetMode="External"/><Relationship Id="rId13" Type="http://schemas.openxmlformats.org/officeDocument/2006/relationships/hyperlink" Target="consultantplus://offline/ref=8E2120D3359895CC8FECA13FDF04BEF3DA835C071275DA9BD0EAF46A2F8566F683BB0EBA85B35C3ED5693695D9A1A7FDBB0FDB61A90D5D44zAW9J" TargetMode="External"/><Relationship Id="rId18" Type="http://schemas.openxmlformats.org/officeDocument/2006/relationships/hyperlink" Target="consultantplus://offline/ref=8E2120D3359895CC8FECA13FDF04BEF3D88256041177DA9BD0EAF46A2F8566F691BB56B685B0423ED07C60C49FzFW5J" TargetMode="External"/><Relationship Id="rId39" Type="http://schemas.openxmlformats.org/officeDocument/2006/relationships/hyperlink" Target="consultantplus://offline/ref=8E2120D3359895CC8FECA13FDF04BEF3DA8458031D70DA9BD0EAF46A2F8566F683BB0EBE80B0576A822637C99DF7B4FDBB0FD962B5z0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12355</Words>
  <Characters>70426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admin</cp:lastModifiedBy>
  <cp:revision>2</cp:revision>
  <dcterms:created xsi:type="dcterms:W3CDTF">2021-04-14T02:31:00Z</dcterms:created>
  <dcterms:modified xsi:type="dcterms:W3CDTF">2021-04-14T02:31:00Z</dcterms:modified>
</cp:coreProperties>
</file>